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2FD0DBD" wp14:editId="4104C9DA">
                      <wp:simplePos x="0" y="0"/>
                      <wp:positionH relativeFrom="page">
                        <wp:posOffset>4009390</wp:posOffset>
                      </wp:positionH>
                      <wp:positionV relativeFrom="page">
                        <wp:posOffset>1476375</wp:posOffset>
                      </wp:positionV>
                      <wp:extent cx="263842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304D7" w:rsidRDefault="00D304D7" w:rsidP="00D304D7">
                                  <w:pPr>
                                    <w:autoSpaceDE w:val="0"/>
                                    <w:autoSpaceDN w:val="0"/>
                                    <w:spacing w:after="0" w:line="240" w:lineRule="auto"/>
                                    <w:rPr>
                                      <w:rFonts w:eastAsia="Times New Roman" w:cs="Times New Roman"/>
                                      <w:b/>
                                      <w:lang w:eastAsia="cs-CZ"/>
                                    </w:rPr>
                                  </w:pPr>
                                </w:p>
                                <w:p w:rsidR="00866190" w:rsidRPr="00D304D7" w:rsidRDefault="000E11CC" w:rsidP="00D304D7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7pt;margin-top:116.25pt;width:207.7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:rsidR="00D304D7" w:rsidRDefault="00D304D7" w:rsidP="00D304D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eastAsia="Times New Roman" w:cs="Times New Roman"/>
                                <w:b/>
                                <w:lang w:eastAsia="cs-CZ"/>
                              </w:rPr>
                            </w:pPr>
                          </w:p>
                          <w:p w:rsidR="00866190" w:rsidRPr="00D304D7" w:rsidRDefault="000E11CC" w:rsidP="00D304D7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8655B9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8655B9" w:rsidRDefault="000E11CC" w:rsidP="0077673A">
            <w:r>
              <w:t>3465</w:t>
            </w:r>
            <w:r w:rsidR="00EE0E42" w:rsidRPr="008655B9">
              <w:t>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8655B9" w:rsidRDefault="000E11CC" w:rsidP="0077673A">
            <w:r>
              <w:t>0</w:t>
            </w:r>
            <w:r w:rsidR="00E43BA5" w:rsidRPr="008655B9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8655B9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8655B9" w:rsidRDefault="00E43BA5" w:rsidP="0077673A">
            <w:r w:rsidRPr="008655B9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8655B9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8655B9" w:rsidRDefault="00E43BA5" w:rsidP="009A7568">
            <w:r w:rsidRPr="008655B9">
              <w:t>+420 722 819 305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8655B9" w:rsidRDefault="00E43BA5" w:rsidP="009A7568">
            <w:proofErr w:type="spellStart"/>
            <w:r w:rsidRPr="008655B9">
              <w:t>KlimesJa</w:t>
            </w:r>
            <w:proofErr w:type="spellEnd"/>
            <w:r w:rsidRPr="008655B9">
              <w:rPr>
                <w:lang w:val="en-US"/>
              </w:rPr>
              <w:t>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D21417">
              <w:rPr>
                <w:noProof/>
              </w:rPr>
              <w:t>7. května 2019</w:t>
            </w:r>
            <w:r>
              <w:fldChar w:fldCharType="end"/>
            </w:r>
            <w:r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E11CC" w:rsidRPr="000E11CC" w:rsidRDefault="000E11CC" w:rsidP="000E11C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11CC">
        <w:rPr>
          <w:rFonts w:eastAsia="Calibri" w:cs="Times New Roman"/>
          <w:lang w:eastAsia="cs-CZ"/>
        </w:rPr>
        <w:t>Věc:</w:t>
      </w:r>
      <w:r w:rsidRPr="000E11CC">
        <w:rPr>
          <w:rFonts w:eastAsia="Calibri" w:cs="Times New Roman"/>
          <w:b/>
          <w:bCs/>
          <w:lang w:eastAsia="cs-CZ"/>
        </w:rPr>
        <w:t xml:space="preserve"> </w:t>
      </w:r>
      <w:r w:rsidRPr="000E11CC">
        <w:rPr>
          <w:rFonts w:eastAsia="Calibri" w:cs="Times New Roman"/>
          <w:b/>
          <w:bCs/>
          <w:lang w:eastAsia="cs-CZ"/>
        </w:rPr>
        <w:tab/>
        <w:t xml:space="preserve">Změna trakční soustavy na AC 25 </w:t>
      </w:r>
      <w:proofErr w:type="spellStart"/>
      <w:r w:rsidRPr="000E11CC">
        <w:rPr>
          <w:rFonts w:eastAsia="Calibri" w:cs="Times New Roman"/>
          <w:b/>
          <w:bCs/>
          <w:lang w:eastAsia="cs-CZ"/>
        </w:rPr>
        <w:t>kV</w:t>
      </w:r>
      <w:proofErr w:type="spellEnd"/>
      <w:r w:rsidRPr="000E11CC">
        <w:rPr>
          <w:rFonts w:eastAsia="Calibri" w:cs="Times New Roman"/>
          <w:b/>
          <w:bCs/>
          <w:lang w:eastAsia="cs-CZ"/>
        </w:rPr>
        <w:t>, 50 Hz v úseku Nedakonice – Říkovice</w:t>
      </w:r>
    </w:p>
    <w:p w:rsidR="000E11CC" w:rsidRDefault="000E11CC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  <w:r w:rsidRPr="000E11CC">
        <w:rPr>
          <w:rFonts w:eastAsia="Calibri" w:cs="Times New Roman"/>
          <w:lang w:eastAsia="cs-CZ"/>
        </w:rPr>
        <w:t xml:space="preserve">Vysvětlení/ změna/ doplnění zadávací dokumentace č. </w:t>
      </w:r>
      <w:r w:rsidRPr="000E11CC">
        <w:rPr>
          <w:rFonts w:eastAsia="Times New Roman" w:cs="Times New Roman"/>
          <w:lang w:eastAsia="cs-CZ"/>
        </w:rPr>
        <w:t>4</w:t>
      </w: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3: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Ze zadávací dokumentace, Díl 1 Požadavky a podmínky pro zpracování nabídky, část 2 – Pokyny pro dodavatele odst. 9.1 bod 5, není zcela jednoznačně zřejmé, pro které typy zařízení „technologie trakčního vedení pro systém 25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>, 50 Hz“ má uchazeč předložit specifikaci v souladu se Směrnicí 34 SŽDC „Směrnice pro uvádění do provozu výrobků, které jsou součástí sdělovacího a zabezpečovacího zařízení a zařízení elektrotechniky a energetiky, na železniční dopravní cestě ve vlastnictví státu státní organizace Správa železniční dopravní cesty“.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Z odborných znalostí má uchazeč za to, že následující typy zařízení jsou technologií trakčního vedení: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IZOLÁTOR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ÚSEKOVÝ DĚLIČ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FÁZOVÝ DĚLIČ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TROLEJOVÝ DRÁT + NOSNÉ LANO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LANO NAPÁJECÍHO VEDENÍ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PROUDOVÉ PROPOJENÍ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ODPOJOVAČ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MOTOROVÝ POHON ODPOJOVAČE</w:t>
      </w:r>
    </w:p>
    <w:p w:rsidR="00AE2AE7" w:rsidRPr="00AE2AE7" w:rsidRDefault="00AE2AE7" w:rsidP="00AE2AE7">
      <w:pPr>
        <w:numPr>
          <w:ilvl w:val="0"/>
          <w:numId w:val="50"/>
        </w:numPr>
        <w:spacing w:after="0" w:line="240" w:lineRule="auto"/>
        <w:ind w:left="1066" w:hanging="357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BLESKOJISTKA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Požaduje zadavatel předložení specifikace typu výše uvedených typů zařízení?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Technické podmínky ve smyslu Směrnice 34 SŽDC „Směrnice pro uvádění do provozu výrobků, které jsou součástí sdělovacího a zabezpečovacího zařízení a zařízení elektrotechniky a energetiky, na železniční dopravní cestě ve vlastnictví státu státní organizace Správa železniční dopravní cesty“ je nutné předložit k následujícím výrobkům: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Izolátor, úsekový dělič, fázový dělič, odpojovač, motorový pohon odpojovače, bleskojistka (zde je míněn svodič přepětí bez jiskřiště ne růžková bleskojistka na TV). Rovněž je možné použít výrobky dodavatelů/výrobců, kteří již potřebné technické podmínky schválené mají.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4: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lang w:eastAsia="cs-CZ"/>
        </w:rPr>
        <w:t>V článku Čl. 7.4 Technické specifikace SFC jsou uvedeny pojmy jako “provozní dostupnost” a “spolehlivost”. Prosíme o přesný výklad těchto pojmů, případně o procentuální vyjádření s vazbou na vynucené odstávky zařízení s ohledem na plánovanou nebo neplánovanou údržbu. Jaký je servisní čas v případě nutného technického zásahu při neplánované odstávce?</w:t>
      </w:r>
    </w:p>
    <w:p w:rsidR="00AE2AE7" w:rsidRPr="00AE2AE7" w:rsidRDefault="00AE2AE7" w:rsidP="00AE2AE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E2AE7" w:rsidRPr="00AE2AE7" w:rsidRDefault="00AE2AE7" w:rsidP="00AE2AE7">
      <w:pPr>
        <w:spacing w:after="0" w:line="240" w:lineRule="auto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Požadavky na provozní dostupnost a spolehlivost jsou definovány v Technické specifikaci v bodě 7.4.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lastRenderedPageBreak/>
        <w:t xml:space="preserve">Provozní dostupnost pro SFC jako celku je požadována 99,5 % pro vynucené (neplánované) odstávky.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  <w:lang w:eastAsia="cs-CZ"/>
        </w:rPr>
        <w:t>Výpočet: 365 dní (</w:t>
      </w:r>
      <w:proofErr w:type="gramStart"/>
      <w:r w:rsidRPr="00AE2AE7">
        <w:rPr>
          <w:rFonts w:eastAsia="Calibri" w:cs="Times New Roman"/>
          <w:i/>
          <w:lang w:eastAsia="cs-CZ"/>
        </w:rPr>
        <w:t>rok)  x 24</w:t>
      </w:r>
      <w:proofErr w:type="gramEnd"/>
      <w:r w:rsidRPr="00AE2AE7">
        <w:rPr>
          <w:rFonts w:eastAsia="Calibri" w:cs="Times New Roman"/>
          <w:i/>
          <w:lang w:eastAsia="cs-CZ"/>
        </w:rPr>
        <w:t xml:space="preserve"> hod/den = 8760 hod/ rok   tj.  při  99,5 % provozní dostupnosti je pro vynucené (neplánované) odstávky počítáno s hodnotou 43,8 hod/rok (1,825 dní/rok).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Provozní dostupnost pro SFC jako celku je 99  % v případě plánované a neplánované údržby. Pro případ dvou SFC je povolena hodnota 98 %. Dodavatel dodá výpočet provozní dostupnosti SFC jako celku. Hodnoty provozní dostupnosti jsou garantovanou hodnotou.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 xml:space="preserve">Výpočet: 365 dní (rok)  x 24 hod/den = 8760 hod/ rok   tj.  pro </w:t>
      </w:r>
      <w:proofErr w:type="gramStart"/>
      <w:r w:rsidRPr="00AE2AE7">
        <w:rPr>
          <w:rFonts w:eastAsia="Calibri" w:cs="Times New Roman"/>
          <w:i/>
          <w:lang w:eastAsia="cs-CZ"/>
        </w:rPr>
        <w:t>dva</w:t>
      </w:r>
      <w:proofErr w:type="gramEnd"/>
      <w:r w:rsidRPr="00AE2AE7">
        <w:rPr>
          <w:rFonts w:eastAsia="Calibri" w:cs="Times New Roman"/>
          <w:i/>
          <w:lang w:eastAsia="cs-CZ"/>
        </w:rPr>
        <w:t xml:space="preserve"> SFC při 98 % provozní dostupnosti je pro plánované a neplánované odstávky počítáno s hodnotou 175,2 hod/rok (7,3 dní/rok). Pro každý SFC z těchto dvou SFC je hodnota 87,5 hod/rok (3,65 dní/rok).</w:t>
      </w:r>
    </w:p>
    <w:p w:rsidR="00AE2AE7" w:rsidRDefault="00AE2AE7" w:rsidP="00AE2AE7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AE2AE7" w:rsidRPr="00AE2AE7" w:rsidRDefault="00AE2AE7" w:rsidP="00AE2AE7">
      <w:pPr>
        <w:spacing w:after="0" w:line="240" w:lineRule="auto"/>
        <w:rPr>
          <w:rFonts w:eastAsia="Calibri" w:cs="Times New Roman"/>
          <w:i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5: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Norma ČSN 34 2614 ed.3 stanoví maximální rušivé proudy stacionárního zdroje (v tomto případě statického měniče na TNS) na 60mA v pásmu 75Hz a 275Hz pro perspektivní kolejové obvody. Jakým způsobem vyžaduje zadavatel prokázání splnění tohoto požadavku? Chce zadavatel stanovit požadavky na bezpečnost nebo jiné ujištění k tomuto ustanovení normy od dodavatele TNS? Požaduje zadavatel provedení akreditovaných měření prověřující splnění tohoto požadavku normy po instalaci (spuštění) TNS?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E2AE7">
        <w:rPr>
          <w:rFonts w:eastAsia="Times New Roman" w:cs="Times New Roman"/>
          <w:b/>
          <w:bCs/>
          <w:lang w:eastAsia="cs-CZ"/>
        </w:rPr>
        <w:t>Odpověď</w:t>
      </w:r>
      <w:r w:rsidRPr="00AE2AE7">
        <w:rPr>
          <w:rFonts w:eastAsia="Times New Roman" w:cs="Times New Roman"/>
          <w:bCs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</w:rPr>
      </w:pPr>
      <w:r w:rsidRPr="00AE2AE7">
        <w:rPr>
          <w:rFonts w:eastAsia="Times New Roman" w:cs="Times New Roman"/>
          <w:bCs/>
          <w:i/>
          <w:lang w:eastAsia="zh-CN"/>
        </w:rPr>
        <w:t xml:space="preserve">Hodnoty rušivých proudů uvedené ČSN 34 2613, příloha B se podle článku 7.8 „Požadavky na stacionární zařízení napájená z TV“ téže normy týkají stacionárních zařízení napájených z trakčního vedení, která mohou být zdrojem rušení, nikoliv trakčních napájecích stanic.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Kompatibilitu trakčních napájecích stanic s kolejovými obvody železničních zabezpečovacích zařízení a vozidly je nutno řešit a prokazovat na základě analýzy kompatibility podle ČSN EN 50 238 jako součást plnění dodávky.</w:t>
      </w:r>
    </w:p>
    <w:p w:rsidR="00AE2AE7" w:rsidRPr="00AE2AE7" w:rsidRDefault="00AE2AE7" w:rsidP="00AE2AE7">
      <w:pPr>
        <w:keepNext/>
        <w:tabs>
          <w:tab w:val="left" w:pos="709"/>
        </w:tabs>
        <w:spacing w:after="0" w:line="240" w:lineRule="auto"/>
        <w:jc w:val="both"/>
        <w:outlineLvl w:val="1"/>
        <w:rPr>
          <w:rFonts w:eastAsia="Times New Roman" w:cs="Times New Roman"/>
          <w:bCs/>
          <w:i/>
          <w:iCs/>
          <w:lang w:val="x-none" w:eastAsia="cs-CZ"/>
        </w:rPr>
      </w:pPr>
      <w:r w:rsidRPr="00AE2AE7">
        <w:rPr>
          <w:rFonts w:eastAsia="Times New Roman" w:cs="Times New Roman"/>
          <w:bCs/>
          <w:i/>
          <w:iCs/>
          <w:lang w:val="x-none" w:eastAsia="cs-CZ"/>
        </w:rPr>
        <w:t xml:space="preserve">V technické specifikaci bod č. 4.3  </w:t>
      </w:r>
      <w:bookmarkStart w:id="1" w:name="_Toc532545026"/>
      <w:bookmarkStart w:id="2" w:name="_Ref528823556"/>
      <w:r w:rsidRPr="00AE2AE7">
        <w:rPr>
          <w:rFonts w:eastAsia="Times New Roman" w:cs="Times New Roman"/>
          <w:bCs/>
          <w:i/>
          <w:iCs/>
          <w:lang w:val="x-none" w:eastAsia="x-none"/>
        </w:rPr>
        <w:t>Rozsah dodávek dodavatele SFC</w:t>
      </w:r>
      <w:bookmarkEnd w:id="1"/>
      <w:bookmarkEnd w:id="2"/>
      <w:r w:rsidRPr="00AE2AE7">
        <w:rPr>
          <w:rFonts w:eastAsia="Times New Roman" w:cs="Times New Roman"/>
          <w:bCs/>
          <w:i/>
          <w:iCs/>
          <w:lang w:eastAsia="x-none"/>
        </w:rPr>
        <w:t xml:space="preserve"> </w:t>
      </w:r>
      <w:r w:rsidRPr="00AE2AE7">
        <w:rPr>
          <w:rFonts w:eastAsia="Times New Roman" w:cs="Times New Roman"/>
          <w:bCs/>
          <w:i/>
          <w:iCs/>
          <w:lang w:val="x-none" w:eastAsia="cs-CZ"/>
        </w:rPr>
        <w:t xml:space="preserve"> je </w:t>
      </w:r>
      <w:r w:rsidRPr="00AE2AE7">
        <w:rPr>
          <w:rFonts w:eastAsia="Times New Roman" w:cs="Times New Roman"/>
          <w:bCs/>
          <w:i/>
          <w:iCs/>
          <w:lang w:eastAsia="cs-CZ"/>
        </w:rPr>
        <w:t xml:space="preserve">mimo jiné </w:t>
      </w:r>
      <w:r w:rsidRPr="00AE2AE7">
        <w:rPr>
          <w:rFonts w:eastAsia="Times New Roman" w:cs="Times New Roman"/>
          <w:bCs/>
          <w:i/>
          <w:iCs/>
          <w:lang w:val="x-none" w:eastAsia="cs-CZ"/>
        </w:rPr>
        <w:t>uvedeno: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  <w:r w:rsidRPr="00AE2AE7">
        <w:rPr>
          <w:rFonts w:eastAsia="Times New Roman" w:cs="Times New Roman"/>
          <w:bCs/>
          <w:i/>
          <w:lang w:eastAsia="cs-CZ"/>
        </w:rPr>
        <w:t>Součástí dodávky zařízení jsou p</w:t>
      </w:r>
      <w:r w:rsidRPr="00AE2AE7">
        <w:rPr>
          <w:rFonts w:eastAsia="Times New Roman" w:cs="Times New Roman"/>
          <w:bCs/>
          <w:i/>
          <w:lang w:eastAsia="zh-CN"/>
        </w:rPr>
        <w:t>odklady nutné pro uvedení zařízení do provozu na drahách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  <w:r w:rsidRPr="00AE2AE7">
        <w:rPr>
          <w:rFonts w:eastAsia="Times New Roman" w:cs="Times New Roman"/>
          <w:bCs/>
          <w:i/>
          <w:lang w:eastAsia="zh-CN"/>
        </w:rPr>
        <w:t>„Studie kompatibility harmonických a dynamických jevů“ ve vztahu k napájení dráhy podle ČSN EN 50 388, která je podmínkou pro získání certifikátu shody s TSI ENE.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  <w:r w:rsidRPr="00AE2AE7">
        <w:rPr>
          <w:rFonts w:eastAsia="Times New Roman" w:cs="Times New Roman"/>
          <w:bCs/>
          <w:i/>
          <w:lang w:eastAsia="zh-CN"/>
        </w:rPr>
        <w:t>„Studie kompatibility“ podle ČSN EN 50 238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</w:p>
    <w:p w:rsid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  <w:r w:rsidRPr="00AE2AE7">
        <w:rPr>
          <w:rFonts w:eastAsia="Times New Roman" w:cs="Times New Roman"/>
          <w:bCs/>
          <w:i/>
          <w:lang w:eastAsia="zh-CN"/>
        </w:rPr>
        <w:t>Současně platí, že požadavky na bezpečnost technického řešení a související deklarace (prohlášení) ze strany dodavatele by měly být založeny na posouzení dopadu změny železničního systému, která spočívá v použití konkrétního statického měniče, podle Prováděcího nařízení komise (EU) č. 402/2013 o společné bezpečnostní metodě pro hodnocení a posuzování rizik a o zrušení nařízení (ES) č. 352/2009 a podle ČSN EN 50126-1 a ČSN EN 50126-2. Podložení deklarací dodavatele provedením akreditovaných měření rušivých složek ze statického měniče považujeme za vysoce vhodné.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Times New Roman" w:cs="Times New Roman"/>
          <w:bCs/>
          <w:i/>
          <w:lang w:eastAsia="zh-CN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6: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Norma ČSN 34 2614 ed.3 stanoví, že stacionární zdroj nesmí být připojen do kolejového úseku se starším typem kolejového obvodu. Takový kolejový obvod z logiky věci nemá být ani v příslušném napájecím rameni, pokud je napájen ze statického měniče v TNS. Zajistí či vydá zadavatel výjimku z normy, nebude-li před skončením stavby v ŽST Otrokovice provedena výměna kolejových obvodů </w:t>
      </w:r>
      <w:proofErr w:type="gramStart"/>
      <w:r w:rsidRPr="00AE2AE7">
        <w:rPr>
          <w:rFonts w:eastAsia="Calibri" w:cs="Times New Roman"/>
          <w:lang w:eastAsia="cs-CZ"/>
        </w:rPr>
        <w:t>ze</w:t>
      </w:r>
      <w:proofErr w:type="gramEnd"/>
      <w:r w:rsidRPr="00AE2AE7">
        <w:rPr>
          <w:rFonts w:eastAsia="Calibri" w:cs="Times New Roman"/>
          <w:lang w:eastAsia="cs-CZ"/>
        </w:rPr>
        <w:t xml:space="preserve"> perspektivní typ? Má-li tento případ řešit dodavatel, v jakém provozním souboru má být toto zajištěno?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Ustanovení uvedená v ČSN 34 2613, článek 7.8 „Požadavky na stacionární zařízení napájená z TV“ se týkají stacionárních zařízení napájených z trakčního vedení, která mohou být zdrojem rušení, nikoliv trakčních napájecích stanic.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Kompatibilitu trakčních napájecích stanic s kolejovými obvody železničních zabezpečovacích zařízení a vozidly je nutno řešit a prokazovat na základě analýzy kompatibility podle ČSN EN 50 238 jako součást plnění dodávky. Pro prokázání bezpečného řešení lze rovněž připustit totožný postup, který je uveden v odpovědi na dotaz č. 5. Výměna nevyhovujících kolejových obvodů musí být provedena v předstihu před instalací trakční napájecí stanice.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7: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Zadávací dokumentace k „PS 13-28-01 ŽST Hulín, úprava SZZ“ uvádí, že stávající </w:t>
      </w:r>
      <w:proofErr w:type="spellStart"/>
      <w:r w:rsidRPr="00AE2AE7">
        <w:rPr>
          <w:rFonts w:eastAsia="Calibri" w:cs="Times New Roman"/>
          <w:lang w:eastAsia="cs-CZ"/>
        </w:rPr>
        <w:t>kabelovod</w:t>
      </w:r>
      <w:proofErr w:type="spellEnd"/>
      <w:r w:rsidRPr="00AE2AE7">
        <w:rPr>
          <w:rFonts w:eastAsia="Calibri" w:cs="Times New Roman"/>
          <w:lang w:eastAsia="cs-CZ"/>
        </w:rPr>
        <w:t xml:space="preserve"> bude využit. Chápeme správně, že si uchazeč do nákladů tohoto provozního souboru ve vztahu </w:t>
      </w:r>
      <w:r w:rsidRPr="00AE2AE7">
        <w:rPr>
          <w:rFonts w:eastAsia="Calibri" w:cs="Times New Roman"/>
          <w:lang w:eastAsia="cs-CZ"/>
        </w:rPr>
        <w:lastRenderedPageBreak/>
        <w:t xml:space="preserve">ke </w:t>
      </w:r>
      <w:proofErr w:type="spellStart"/>
      <w:r w:rsidRPr="00AE2AE7">
        <w:rPr>
          <w:rFonts w:eastAsia="Calibri" w:cs="Times New Roman"/>
          <w:lang w:eastAsia="cs-CZ"/>
        </w:rPr>
        <w:t>kabelovodu</w:t>
      </w:r>
      <w:proofErr w:type="spellEnd"/>
      <w:r w:rsidRPr="00AE2AE7">
        <w:rPr>
          <w:rFonts w:eastAsia="Calibri" w:cs="Times New Roman"/>
          <w:lang w:eastAsia="cs-CZ"/>
        </w:rPr>
        <w:t xml:space="preserve"> zahrne jen náklady na nezbytnou výměnu kabelizace v </w:t>
      </w:r>
      <w:proofErr w:type="spellStart"/>
      <w:r w:rsidRPr="00AE2AE7">
        <w:rPr>
          <w:rFonts w:eastAsia="Calibri" w:cs="Times New Roman"/>
          <w:lang w:eastAsia="cs-CZ"/>
        </w:rPr>
        <w:t>kabelovodu</w:t>
      </w:r>
      <w:proofErr w:type="spellEnd"/>
      <w:r w:rsidRPr="00AE2AE7">
        <w:rPr>
          <w:rFonts w:eastAsia="Calibri" w:cs="Times New Roman"/>
          <w:lang w:eastAsia="cs-CZ"/>
        </w:rPr>
        <w:t xml:space="preserve"> dle požadavků zadávací dokumentace?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 xml:space="preserve">Ano. Součástí přípravné dokumentace nebylo vytvoření nového </w:t>
      </w:r>
      <w:proofErr w:type="spellStart"/>
      <w:r w:rsidRPr="00AE2AE7">
        <w:rPr>
          <w:rFonts w:eastAsia="Calibri" w:cs="Times New Roman"/>
          <w:i/>
          <w:lang w:eastAsia="cs-CZ"/>
        </w:rPr>
        <w:t>kabelovodu</w:t>
      </w:r>
      <w:proofErr w:type="spellEnd"/>
      <w:r w:rsidRPr="00AE2AE7">
        <w:rPr>
          <w:rFonts w:eastAsia="Calibri" w:cs="Times New Roman"/>
          <w:i/>
          <w:lang w:eastAsia="cs-CZ"/>
        </w:rPr>
        <w:t xml:space="preserve"> dnešních standardů, ale maximální využití stávajících kabelových vedení.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8: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Měnič se chová při napájení zkratu jako proudový zdroj (nominální proud měniče, případně s nějakým krátkodobým v řádu sekund navýšením o několik desítek procent). Z toho plyne, že při ostrovním napájením bude při zkratu na jednom vývodu v celé </w:t>
      </w:r>
      <w:proofErr w:type="gramStart"/>
      <w:r w:rsidRPr="00AE2AE7">
        <w:rPr>
          <w:rFonts w:eastAsia="Calibri" w:cs="Times New Roman"/>
          <w:lang w:eastAsia="cs-CZ"/>
        </w:rPr>
        <w:t>sítí</w:t>
      </w:r>
      <w:proofErr w:type="gramEnd"/>
      <w:r w:rsidRPr="00AE2AE7">
        <w:rPr>
          <w:rFonts w:eastAsia="Calibri" w:cs="Times New Roman"/>
          <w:lang w:eastAsia="cs-CZ"/>
        </w:rPr>
        <w:t xml:space="preserve"> dočasné podpětí. Hodnota napětí bude v tomto případě na nižší úrovni než při napájení z transformátoru, protože transformátor je schopen vybudit vyšší proud. Funkce nadproudových ochran (včetně pojistek) je tak omezena. Dále je třeba zvážit nastavení </w:t>
      </w:r>
      <w:proofErr w:type="spellStart"/>
      <w:r w:rsidRPr="00AE2AE7">
        <w:rPr>
          <w:rFonts w:eastAsia="Calibri" w:cs="Times New Roman"/>
          <w:lang w:eastAsia="cs-CZ"/>
        </w:rPr>
        <w:t>podpěťových</w:t>
      </w:r>
      <w:proofErr w:type="spellEnd"/>
      <w:r w:rsidRPr="00AE2AE7">
        <w:rPr>
          <w:rFonts w:eastAsia="Calibri" w:cs="Times New Roman"/>
          <w:lang w:eastAsia="cs-CZ"/>
        </w:rPr>
        <w:t xml:space="preserve"> ochran, například doplněním časového zpoždění. Vyžaduje to změnu v přístupu nastavení ochran. 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Bude vypracována náhrada SR 34, respektive doplnění pro SR 34? V takovém případě totiž SR 34 neplatí. Jak bude předpokládaná větší míra poklesů napětí akceptována připojenými zařízeními a to nejen v řešeném úseku Nedakonice – Říkovice, ale i v úseku Nedakonice- Břeclav, který je možno případně v jisté míře frekvenčními měniči též napájet?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Koordinace nastavení ochran je součástí plnění dodávky.</w:t>
      </w:r>
      <w:r w:rsidRPr="00AE2AE7">
        <w:rPr>
          <w:rFonts w:eastAsia="Calibri" w:cs="Times New Roman"/>
          <w:i/>
          <w:lang w:eastAsia="cs-CZ"/>
        </w:rPr>
        <w:t xml:space="preserve"> Obecně SFC technologie využívají např. zálohovaných distančních ochran, které mají dostatečné krátké časy pro vyhodnocení, aby nedocházelo ke zmiňovanému napěťovému poklesu.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Dodavatelem stanovené hodnoty budou vydány jako příloha předpisu SR 34 pro příslušné TNS; předpis SR 34 bude novelizován v návaznosti na provoz těchto systémů.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9: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lang w:eastAsia="cs-CZ"/>
        </w:rPr>
        <w:t>Co znamená možnost „neomezené rekuperace“? Platí omezení dle ČSN EN 50388 ed.2, že rekuperace se musí přerušit, při překročení U max2 anebo když síť neabsorbuje energie (zejména při zakázané rekuperaci do nadřazené soustavy)? Kdo bude řešit interakci vozidlo – měnič? Nemůže v takovém případě dojít k nestabilitě sítě, je-li napájení realizováno jen měniči? Je možné napájecí stanice vybavit obdobou zpětného wattového relé a napájení pak přerušit (viz SR 34 GSCT relé)?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Povinnost neomezené rekuperace je definována v TSI ENE (viz Nařízení komise (EU) č. 1301/2014), článek 4.2.6. K tomu je požadováno neomezené předávání přebytků jinými vlaky nespotřebované </w:t>
      </w:r>
      <w:proofErr w:type="spellStart"/>
      <w:r w:rsidRPr="00AE2AE7">
        <w:rPr>
          <w:rFonts w:eastAsia="Calibri" w:cs="Times New Roman"/>
          <w:i/>
        </w:rPr>
        <w:t>rekuperované</w:t>
      </w:r>
      <w:proofErr w:type="spellEnd"/>
      <w:r w:rsidRPr="00AE2AE7">
        <w:rPr>
          <w:rFonts w:eastAsia="Calibri" w:cs="Times New Roman"/>
          <w:i/>
        </w:rPr>
        <w:t xml:space="preserve"> elektrické energie do distribuční soustavy. Rekuperaci do nadřazené soustavy proto nelze zakázat. Odpojování wattovými relé není akceptovatelné. 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Ustanovení ČSN EN 50 388, článek 12.1.1 o nepřekročení napětí U</w:t>
      </w:r>
      <w:r w:rsidRPr="00AE2AE7">
        <w:rPr>
          <w:rFonts w:eastAsia="Calibri" w:cs="Times New Roman"/>
          <w:i/>
          <w:vertAlign w:val="subscript"/>
        </w:rPr>
        <w:t>max2</w:t>
      </w:r>
      <w:r w:rsidRPr="00AE2AE7">
        <w:rPr>
          <w:rFonts w:eastAsia="Calibri" w:cs="Times New Roman"/>
          <w:i/>
        </w:rPr>
        <w:t xml:space="preserve"> podle ČSN EN 50 163 se vztahuje na vozidla, nikoliv na pevná trakční zařízení.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Interakci vozidlo - měnič je nutno řešit podle požadavků na kompatibilitu trakční napájecí stanice s vozidly tak, jak je definováno ČSN EN 50 388, kapitola 10.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i/>
        </w:rPr>
      </w:pPr>
      <w:r w:rsidRPr="00AE2AE7">
        <w:rPr>
          <w:rFonts w:eastAsia="Calibri" w:cs="Times New Roman"/>
          <w:i/>
        </w:rPr>
        <w:t>Provedení analýzy kompatibility podle ČSN EN 50 388, článek 10.3 je součástí plnění dodávky.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10: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Je požadován synchronní provoz k frekvenci napětí transformátoru v Nedakonicích a v tom případě platí hodnoty tolerance frekvence pro soustavy připojené synchronně propojené k propojené soustavy dle ČSN EN 50163 ed.2 (platí tolerance 47 – 52 Hz 100 % doby). Avšak jaká je požadovaná frekvence při ostrovním provozu pouze s měničem (měniči), pokud není k dispozici tato synchronizační linka? Bude se synchronizovat podle napětí na jiném místě přenosové soustavy nebo platí ČSN EN 50163 ed.2 bod 4.2 pro soustavy bez synchronního připojení k propojené soustavě: 49 - 51 Hz 95 % týdně, 42,5 - 57,5Hz 100% doby? V případě vyšší tolerance frekvence, kdo bude řešit kompatibilitu s připojenými zařízeními (nejen vozidla, ale i napájení </w:t>
      </w:r>
      <w:proofErr w:type="spellStart"/>
      <w:r w:rsidRPr="00AE2AE7">
        <w:rPr>
          <w:rFonts w:eastAsia="Calibri" w:cs="Times New Roman"/>
          <w:lang w:eastAsia="cs-CZ"/>
        </w:rPr>
        <w:t>zab</w:t>
      </w:r>
      <w:proofErr w:type="spellEnd"/>
      <w:r w:rsidRPr="00AE2AE7">
        <w:rPr>
          <w:rFonts w:eastAsia="Calibri" w:cs="Times New Roman"/>
          <w:lang w:eastAsia="cs-CZ"/>
        </w:rPr>
        <w:t xml:space="preserve">. </w:t>
      </w:r>
      <w:proofErr w:type="gramStart"/>
      <w:r w:rsidRPr="00AE2AE7">
        <w:rPr>
          <w:rFonts w:eastAsia="Calibri" w:cs="Times New Roman"/>
          <w:lang w:eastAsia="cs-CZ"/>
        </w:rPr>
        <w:t>zař</w:t>
      </w:r>
      <w:proofErr w:type="gramEnd"/>
      <w:r w:rsidRPr="00AE2AE7">
        <w:rPr>
          <w:rFonts w:eastAsia="Calibri" w:cs="Times New Roman"/>
          <w:lang w:eastAsia="cs-CZ"/>
        </w:rPr>
        <w:t>., OV, EOV apod.)?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V případě ostrovního provozu SFC bude synchronizace prováděna dle místa připojení SFC a platí tolerance 47 – 52 Hz 100 % doby.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lastRenderedPageBreak/>
        <w:t>Dotaz č. 11: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Co znamená autonomní provoz pro paralelní napájení dvou měničů? Stabilní regulace sítě požaduje provoz dle systém Master (určuje frekvenci a nenechá se ovlivňovat, nejvýše jeden v síti, simuluje </w:t>
      </w:r>
      <w:proofErr w:type="spellStart"/>
      <w:r w:rsidRPr="00AE2AE7">
        <w:rPr>
          <w:rFonts w:eastAsia="Calibri" w:cs="Times New Roman"/>
          <w:lang w:eastAsia="cs-CZ"/>
        </w:rPr>
        <w:t>trafo</w:t>
      </w:r>
      <w:proofErr w:type="spellEnd"/>
      <w:r w:rsidRPr="00AE2AE7">
        <w:rPr>
          <w:rFonts w:eastAsia="Calibri" w:cs="Times New Roman"/>
          <w:lang w:eastAsia="cs-CZ"/>
        </w:rPr>
        <w:t xml:space="preserve">) – Slave a znalost o charakteristiku dalších případných zdrojů v síti. K tomu je potřeba odpovídající komunikace nebo tvrdé nastavení. Jakým systémem bude určován Master? Funkce master totiž musí být vypnutelná / přenositelná, například při přechodu na paralelní provoz s transformátorem, kdy funkci Master z principu přebírá </w:t>
      </w:r>
      <w:proofErr w:type="spellStart"/>
      <w:r w:rsidRPr="00AE2AE7">
        <w:rPr>
          <w:rFonts w:eastAsia="Calibri" w:cs="Times New Roman"/>
          <w:lang w:eastAsia="cs-CZ"/>
        </w:rPr>
        <w:t>trafo</w:t>
      </w:r>
      <w:proofErr w:type="spellEnd"/>
      <w:r w:rsidRPr="00AE2AE7">
        <w:rPr>
          <w:rFonts w:eastAsia="Calibri" w:cs="Times New Roman"/>
          <w:lang w:eastAsia="cs-CZ"/>
        </w:rPr>
        <w:t>. Řeší to obsluha? Automatický systém? Jaká bude logika při poruše automatického systému?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</w:rPr>
        <w:t xml:space="preserve">Přidělení role Master/Slave zajistí </w:t>
      </w:r>
      <w:proofErr w:type="gramStart"/>
      <w:r w:rsidRPr="00AE2AE7">
        <w:rPr>
          <w:rFonts w:eastAsia="Calibri" w:cs="Times New Roman"/>
          <w:i/>
        </w:rPr>
        <w:t>řídící</w:t>
      </w:r>
      <w:proofErr w:type="gramEnd"/>
      <w:r w:rsidRPr="00AE2AE7">
        <w:rPr>
          <w:rFonts w:eastAsia="Calibri" w:cs="Times New Roman"/>
          <w:i/>
        </w:rPr>
        <w:t xml:space="preserve"> systém.</w:t>
      </w:r>
      <w:r w:rsidRPr="00AE2AE7">
        <w:rPr>
          <w:rFonts w:eastAsia="Calibri" w:cs="Times New Roman"/>
          <w:i/>
          <w:lang w:eastAsia="cs-CZ"/>
        </w:rPr>
        <w:t xml:space="preserve"> Zda je, nebo není potřebná komunikace mezi měniči, určí výrobce konkrétního měniče. Měnič musí zajistit dodržení parametrů trakce v místě připojení. V případě poruchy automatiky Dodavatel zpracuje zásady manuálního řízení v jednotlivých provozních stavech.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Návrh systému řízení je součástí plnění dodávky.</w:t>
      </w:r>
    </w:p>
    <w:p w:rsidR="00AE2AE7" w:rsidRDefault="00AE2AE7" w:rsidP="00AE2AE7">
      <w:pPr>
        <w:spacing w:after="0" w:line="240" w:lineRule="auto"/>
        <w:rPr>
          <w:rFonts w:eastAsia="Calibri" w:cs="Times New Roman"/>
        </w:rPr>
      </w:pPr>
    </w:p>
    <w:p w:rsidR="00AE2AE7" w:rsidRPr="00AE2AE7" w:rsidRDefault="00AE2AE7" w:rsidP="00AE2AE7">
      <w:pPr>
        <w:spacing w:after="0" w:line="240" w:lineRule="auto"/>
        <w:rPr>
          <w:rFonts w:eastAsia="Calibri" w:cs="Times New Roman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12: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Je požadováno výrazné snížení ztráty v TNS a TV. Celkově se ztráty sníží, ale </w:t>
      </w:r>
      <w:proofErr w:type="gramStart"/>
      <w:r w:rsidRPr="00AE2AE7">
        <w:rPr>
          <w:rFonts w:eastAsia="Calibri" w:cs="Times New Roman"/>
          <w:lang w:eastAsia="cs-CZ"/>
        </w:rPr>
        <w:t>ztráty v SFC</w:t>
      </w:r>
      <w:proofErr w:type="gramEnd"/>
      <w:r w:rsidRPr="00AE2AE7">
        <w:rPr>
          <w:rFonts w:eastAsia="Calibri" w:cs="Times New Roman"/>
          <w:lang w:eastAsia="cs-CZ"/>
        </w:rPr>
        <w:t xml:space="preserve"> - stanice Otrokovice budou například větší než v aktuální měnírně z důvodu trojí transformace trakční energie (110/22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 xml:space="preserve">, 22kV/měnič, měnič/25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 xml:space="preserve">) a jejího průchodu přes měnič. Patří v Otrokovicích z pohledu ztrát obě </w:t>
      </w:r>
      <w:proofErr w:type="spellStart"/>
      <w:r w:rsidRPr="00AE2AE7">
        <w:rPr>
          <w:rFonts w:eastAsia="Calibri" w:cs="Times New Roman"/>
          <w:lang w:eastAsia="cs-CZ"/>
        </w:rPr>
        <w:t>trafa</w:t>
      </w:r>
      <w:proofErr w:type="spellEnd"/>
      <w:r w:rsidRPr="00AE2AE7">
        <w:rPr>
          <w:rFonts w:eastAsia="Calibri" w:cs="Times New Roman"/>
          <w:lang w:eastAsia="cs-CZ"/>
        </w:rPr>
        <w:t xml:space="preserve"> v přívodu (110/22kV) k celku SFC? Z literatury (KONFERENCE NŽT 2018 OSTRAVA 15.-</w:t>
      </w:r>
      <w:proofErr w:type="gramStart"/>
      <w:r w:rsidRPr="00AE2AE7">
        <w:rPr>
          <w:rFonts w:eastAsia="Calibri" w:cs="Times New Roman"/>
          <w:lang w:eastAsia="cs-CZ"/>
        </w:rPr>
        <w:t>16.11.2018</w:t>
      </w:r>
      <w:proofErr w:type="gramEnd"/>
      <w:r w:rsidRPr="00AE2AE7">
        <w:rPr>
          <w:rFonts w:eastAsia="Calibri" w:cs="Times New Roman"/>
          <w:lang w:eastAsia="cs-CZ"/>
        </w:rPr>
        <w:t xml:space="preserve">, článek </w:t>
      </w:r>
      <w:proofErr w:type="spellStart"/>
      <w:r w:rsidRPr="00AE2AE7">
        <w:rPr>
          <w:rFonts w:eastAsia="Calibri" w:cs="Times New Roman"/>
          <w:lang w:eastAsia="cs-CZ"/>
        </w:rPr>
        <w:t>Simulácia</w:t>
      </w:r>
      <w:proofErr w:type="spellEnd"/>
      <w:r w:rsidRPr="00AE2AE7">
        <w:rPr>
          <w:rFonts w:eastAsia="Calibri" w:cs="Times New Roman"/>
          <w:lang w:eastAsia="cs-CZ"/>
        </w:rPr>
        <w:t xml:space="preserve"> </w:t>
      </w:r>
      <w:proofErr w:type="spellStart"/>
      <w:r w:rsidRPr="00AE2AE7">
        <w:rPr>
          <w:rFonts w:eastAsia="Calibri" w:cs="Times New Roman"/>
          <w:lang w:eastAsia="cs-CZ"/>
        </w:rPr>
        <w:t>strát</w:t>
      </w:r>
      <w:proofErr w:type="spellEnd"/>
      <w:r w:rsidRPr="00AE2AE7">
        <w:rPr>
          <w:rFonts w:eastAsia="Calibri" w:cs="Times New Roman"/>
          <w:lang w:eastAsia="cs-CZ"/>
        </w:rPr>
        <w:t xml:space="preserve"> při rozvode trakčního </w:t>
      </w:r>
      <w:proofErr w:type="spellStart"/>
      <w:r w:rsidRPr="00AE2AE7">
        <w:rPr>
          <w:rFonts w:eastAsia="Calibri" w:cs="Times New Roman"/>
          <w:lang w:eastAsia="cs-CZ"/>
        </w:rPr>
        <w:t>prúdu</w:t>
      </w:r>
      <w:proofErr w:type="spellEnd"/>
      <w:r w:rsidRPr="00AE2AE7">
        <w:rPr>
          <w:rFonts w:eastAsia="Calibri" w:cs="Times New Roman"/>
          <w:lang w:eastAsia="cs-CZ"/>
        </w:rPr>
        <w:t xml:space="preserve">) plyne, že ztráty v měnírně 3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 xml:space="preserve"> DC asi 30 %. Při celkových ztrátách DC soustavy cca 11 % se pak měnírna podílí na celkových ztrátách 3,3 %, avšak nejedná se o ztráty při jmenovitém zatížení, ale ztráty obvyklé „za provozu“ vč. transformace 110/22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 xml:space="preserve">. Při požadovaných ztrátách měničů (dle zadání) do 3 % při jmenovitém výkonu a při započtení transformace 110/22 </w:t>
      </w:r>
      <w:proofErr w:type="spellStart"/>
      <w:r w:rsidRPr="00AE2AE7">
        <w:rPr>
          <w:rFonts w:eastAsia="Calibri" w:cs="Times New Roman"/>
          <w:lang w:eastAsia="cs-CZ"/>
        </w:rPr>
        <w:t>kV</w:t>
      </w:r>
      <w:proofErr w:type="spellEnd"/>
      <w:r w:rsidRPr="00AE2AE7">
        <w:rPr>
          <w:rFonts w:eastAsia="Calibri" w:cs="Times New Roman"/>
          <w:lang w:eastAsia="cs-CZ"/>
        </w:rPr>
        <w:t xml:space="preserve"> se ztrátami 0,5 % budou celkové ztráty vyšší jak dnes. Jak bude tedy systém posuzován? Odděleně TNS a TV (pak TNS s velkou pravděpodobností nevyhoví)? Nebo jako celek? Vztaženo k čemu? K jmenovitým hodnotám nebo statistickým hodnotám „za provozu“?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Citovaný článek je obecné povahy a není pro posuzování této zakázky relevantní.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Požadavky na účinnost jsou definovány v Technické specifikaci v bodě 7.2. Neobsahují ztráty v trakčním vedení (TV) ani případné externí transformátory v přívodu (například 110 </w:t>
      </w:r>
      <w:proofErr w:type="spellStart"/>
      <w:r w:rsidRPr="00AE2AE7">
        <w:rPr>
          <w:rFonts w:eastAsia="Calibri" w:cs="Times New Roman"/>
          <w:i/>
        </w:rPr>
        <w:t>kV</w:t>
      </w:r>
      <w:proofErr w:type="spellEnd"/>
      <w:r w:rsidRPr="00AE2AE7">
        <w:rPr>
          <w:rFonts w:eastAsia="Calibri" w:cs="Times New Roman"/>
          <w:i/>
        </w:rPr>
        <w:t xml:space="preserve">/22 </w:t>
      </w:r>
      <w:proofErr w:type="spellStart"/>
      <w:r w:rsidRPr="00AE2AE7">
        <w:rPr>
          <w:rFonts w:eastAsia="Calibri" w:cs="Times New Roman"/>
          <w:i/>
        </w:rPr>
        <w:t>kV</w:t>
      </w:r>
      <w:proofErr w:type="spellEnd"/>
      <w:r w:rsidRPr="00AE2AE7">
        <w:rPr>
          <w:rFonts w:eastAsia="Calibri" w:cs="Times New Roman"/>
          <w:i/>
        </w:rPr>
        <w:t>), nepatřící k celku SFC.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 xml:space="preserve">Dvojí transformace v Otrokovicích je vyvolána z provozních důvodů (zajištění napájení LDS), není vyvolána potřebou měničů.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13: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Napájení SFC je určeno jenom pro úsek Nedakonice – Říkovice. Kompatibilita (měnič – </w:t>
      </w:r>
      <w:proofErr w:type="gramStart"/>
      <w:r w:rsidRPr="00AE2AE7">
        <w:rPr>
          <w:rFonts w:eastAsia="Calibri" w:cs="Times New Roman"/>
          <w:lang w:eastAsia="cs-CZ"/>
        </w:rPr>
        <w:t>K.O.</w:t>
      </w:r>
      <w:proofErr w:type="gramEnd"/>
      <w:r w:rsidRPr="00AE2AE7">
        <w:rPr>
          <w:rFonts w:eastAsia="Calibri" w:cs="Times New Roman"/>
          <w:lang w:eastAsia="cs-CZ"/>
        </w:rPr>
        <w:t xml:space="preserve">) bude řešena jen pro řešený úsek. Kdo odpovídá za kompatibilitu v přilehlých úsecích, kde může být </w:t>
      </w:r>
      <w:proofErr w:type="gramStart"/>
      <w:r w:rsidRPr="00AE2AE7">
        <w:rPr>
          <w:rFonts w:eastAsia="Calibri" w:cs="Times New Roman"/>
          <w:lang w:eastAsia="cs-CZ"/>
        </w:rPr>
        <w:t>napájeno z SFC</w:t>
      </w:r>
      <w:proofErr w:type="gramEnd"/>
      <w:r w:rsidRPr="00AE2AE7">
        <w:rPr>
          <w:rFonts w:eastAsia="Calibri" w:cs="Times New Roman"/>
          <w:lang w:eastAsia="cs-CZ"/>
        </w:rPr>
        <w:t xml:space="preserve"> ve výlukových stavech nebo při jiných provozních stavech? Například stav, kdy z jednoho </w:t>
      </w:r>
      <w:proofErr w:type="spellStart"/>
      <w:r w:rsidRPr="00AE2AE7">
        <w:rPr>
          <w:rFonts w:eastAsia="Calibri" w:cs="Times New Roman"/>
          <w:lang w:eastAsia="cs-CZ"/>
        </w:rPr>
        <w:t>trafa</w:t>
      </w:r>
      <w:proofErr w:type="spellEnd"/>
      <w:r w:rsidRPr="00AE2AE7">
        <w:rPr>
          <w:rFonts w:eastAsia="Calibri" w:cs="Times New Roman"/>
          <w:lang w:eastAsia="cs-CZ"/>
        </w:rPr>
        <w:t xml:space="preserve"> Nedakonice je napájen úsek směr Břeclav a zároveň toto </w:t>
      </w:r>
      <w:proofErr w:type="spellStart"/>
      <w:r w:rsidRPr="00AE2AE7">
        <w:rPr>
          <w:rFonts w:eastAsia="Calibri" w:cs="Times New Roman"/>
          <w:lang w:eastAsia="cs-CZ"/>
        </w:rPr>
        <w:t>trafo</w:t>
      </w:r>
      <w:proofErr w:type="spellEnd"/>
      <w:r w:rsidRPr="00AE2AE7">
        <w:rPr>
          <w:rFonts w:eastAsia="Calibri" w:cs="Times New Roman"/>
          <w:lang w:eastAsia="cs-CZ"/>
        </w:rPr>
        <w:t xml:space="preserve"> pracuje paralelně s měničem. Již v tomto případě je možný přenos rušivých frekvencí i do úseku Nedakonice – Břeclav. Při nahodilém výpadku tohoto </w:t>
      </w:r>
      <w:proofErr w:type="spellStart"/>
      <w:r w:rsidRPr="00AE2AE7">
        <w:rPr>
          <w:rFonts w:eastAsia="Calibri" w:cs="Times New Roman"/>
          <w:lang w:eastAsia="cs-CZ"/>
        </w:rPr>
        <w:t>trafa</w:t>
      </w:r>
      <w:proofErr w:type="spellEnd"/>
      <w:r w:rsidRPr="00AE2AE7">
        <w:rPr>
          <w:rFonts w:eastAsia="Calibri" w:cs="Times New Roman"/>
          <w:lang w:eastAsia="cs-CZ"/>
        </w:rPr>
        <w:t xml:space="preserve"> pak napájení úseku směr Břeclav přebírá měnič plně. Stejného efektu je možno dosáhnout sepnutím podélných odpojovačů. Jak bude tento stav řešen, případně jakými (technickými / organizačními) prostředky mu bude zabráněno a kde jsou tyto popsány?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E2AE7">
        <w:rPr>
          <w:rFonts w:eastAsia="Calibri" w:cs="Times New Roman"/>
          <w:b/>
          <w:lang w:eastAsia="cs-CZ"/>
        </w:rPr>
        <w:t xml:space="preserve">Odpověď: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Teritoriální rozsah kolejové sítě s kolejovými obvody, ovlivnitelnými činností měničových trakčních napájecích stanic v základních, výlukových i dalších provozních stavech stanoví zpracovatel studie kompatibility s kolejovými obvody železničních zabezpečovacích zařízení podle ČSN EN 50 238. Zpracování studie kompatibility s kolejovými obvody železničních zabezpečovacích zařízení podle ČSN EN 50 238 je součástí plnění dodávky.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>Podle výsledku studie kompatibility budou případně navržena taková opatření, která zajistí, aby úsek Nedakonice – Břeclav nebyl napájen z TNS se statickým měničem.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lastRenderedPageBreak/>
        <w:t>Dotaz č. 14: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Při poruše synchronizačních linek mezi měniči navzájem a transformátorem je nutno přejít na způsob najíždění podobně, jako jsou fázovány elektrárny do distribuční / přenosové sítě, kdy je na rozvodnu (typicky hlavní přípojnici) u měniče přivedeno napětí a měnič se na toto napětí fázuje. To přináší zvýšený počet spínacích operací, zvýšený počet beznapěťových stavů a zvýšené nároky na obsluhu. Kdo bude vytvářet příslušné provozní předpisy pro uvedené stavy? Je požadováno provedení </w:t>
      </w:r>
      <w:proofErr w:type="spellStart"/>
      <w:r w:rsidRPr="00AE2AE7">
        <w:rPr>
          <w:rFonts w:eastAsia="Calibri" w:cs="Times New Roman"/>
          <w:lang w:eastAsia="cs-CZ"/>
        </w:rPr>
        <w:t>synchrochecků</w:t>
      </w:r>
      <w:proofErr w:type="spellEnd"/>
      <w:r w:rsidRPr="00AE2AE7">
        <w:rPr>
          <w:rFonts w:eastAsia="Calibri" w:cs="Times New Roman"/>
          <w:lang w:eastAsia="cs-CZ"/>
        </w:rPr>
        <w:t xml:space="preserve"> na spínacích prvcích tak, aby bylo zabráněno sepnutí dvou nesfázovaných zdrojů? Na kterých spínacích prvcích jsou </w:t>
      </w:r>
      <w:proofErr w:type="spellStart"/>
      <w:r w:rsidRPr="00AE2AE7">
        <w:rPr>
          <w:rFonts w:eastAsia="Calibri" w:cs="Times New Roman"/>
          <w:lang w:eastAsia="cs-CZ"/>
        </w:rPr>
        <w:t>synchrochecky</w:t>
      </w:r>
      <w:proofErr w:type="spellEnd"/>
      <w:r w:rsidRPr="00AE2AE7">
        <w:rPr>
          <w:rFonts w:eastAsia="Calibri" w:cs="Times New Roman"/>
          <w:lang w:eastAsia="cs-CZ"/>
        </w:rPr>
        <w:t xml:space="preserve"> požadovány? Lze tyto prvky definovat?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</w:rPr>
        <w:t xml:space="preserve">Připojování a synchronizace zajišťuje </w:t>
      </w:r>
      <w:proofErr w:type="gramStart"/>
      <w:r w:rsidRPr="00AE2AE7">
        <w:rPr>
          <w:rFonts w:eastAsia="Calibri" w:cs="Times New Roman"/>
          <w:i/>
        </w:rPr>
        <w:t>řídící</w:t>
      </w:r>
      <w:proofErr w:type="gramEnd"/>
      <w:r w:rsidRPr="00AE2AE7">
        <w:rPr>
          <w:rFonts w:eastAsia="Calibri" w:cs="Times New Roman"/>
          <w:i/>
        </w:rPr>
        <w:t xml:space="preserve"> systém, případně je možná manuální obsluha.</w:t>
      </w:r>
      <w:r w:rsidRPr="00AE2AE7">
        <w:rPr>
          <w:rFonts w:eastAsia="Calibri" w:cs="Times New Roman"/>
          <w:i/>
          <w:lang w:eastAsia="cs-CZ"/>
        </w:rPr>
        <w:t xml:space="preserve"> Spínání úseků sítě musí respektovat střídavou trakci, tzn. je nutný </w:t>
      </w:r>
      <w:proofErr w:type="spellStart"/>
      <w:r w:rsidRPr="00AE2AE7">
        <w:rPr>
          <w:rFonts w:eastAsia="Calibri" w:cs="Times New Roman"/>
          <w:i/>
          <w:lang w:eastAsia="cs-CZ"/>
        </w:rPr>
        <w:t>synchrocheck</w:t>
      </w:r>
      <w:proofErr w:type="spellEnd"/>
      <w:r w:rsidRPr="00AE2AE7">
        <w:rPr>
          <w:rFonts w:eastAsia="Calibri" w:cs="Times New Roman"/>
          <w:i/>
          <w:lang w:eastAsia="cs-CZ"/>
        </w:rPr>
        <w:t xml:space="preserve"> pro spínání dvou oddělených úseků pod napětím.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</w:rPr>
        <w:t>Návrh systému řízení i návrh manuálů k obsluze jsou součástí plnění dodávky.</w:t>
      </w:r>
      <w:r w:rsidRPr="00AE2AE7">
        <w:rPr>
          <w:rFonts w:eastAsia="Calibri" w:cs="Times New Roman"/>
          <w:i/>
          <w:lang w:eastAsia="cs-CZ"/>
        </w:rPr>
        <w:t xml:space="preserve"> Provozní návod na připojování měniče k trakci v různých provozních režimech navrhne dodavatel měniče.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15: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V rámci stavby jako celku budou vlivem daného postupu o výstavbě vyvolány výlukové stavy na provozované dopravní cestě. Bude zadavatelem požadováno zajištění náhradní autobusové dopravy? Pokud ano, má uvažovat uchazeč s náklady ve své nabídce?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Ano, náklady na náhradní autobusovou dopravu jsou součástí nabídek.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16: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E2AE7">
        <w:rPr>
          <w:rFonts w:eastAsia="Calibri" w:cs="Times New Roman"/>
          <w:lang w:eastAsia="cs-CZ"/>
        </w:rPr>
        <w:t>V zadávací dokumentaci - rekapitulaci je uveden provozní soubor PS 09-09-04 TNS Otrokovice, rozvodna 110kV, SKŘ-E.ON“, který řeší návaznost přenosu dat pro externího provozovatele DS. Je předmětem soutěže i tento PS 09-09-04 nebo bude tento PS vyjmut a uchazeč ho nebude oceňovat?</w:t>
      </w:r>
      <w:r w:rsidRPr="00AE2AE7">
        <w:rPr>
          <w:rFonts w:eastAsia="Calibri" w:cs="Times New Roman"/>
          <w:b/>
          <w:lang w:eastAsia="cs-CZ"/>
        </w:rPr>
        <w:t xml:space="preserve">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</w:rPr>
      </w:pPr>
      <w:r w:rsidRPr="00AE2AE7">
        <w:rPr>
          <w:rFonts w:eastAsia="Calibri" w:cs="Times New Roman"/>
          <w:i/>
        </w:rPr>
        <w:t xml:space="preserve">Technické řešení této stavby vyvolává požadavek na přeložku zařízení </w:t>
      </w:r>
      <w:proofErr w:type="gramStart"/>
      <w:r w:rsidRPr="00AE2AE7">
        <w:rPr>
          <w:rFonts w:eastAsia="Calibri" w:cs="Times New Roman"/>
          <w:i/>
        </w:rPr>
        <w:t>DS E.ON</w:t>
      </w:r>
      <w:proofErr w:type="gramEnd"/>
      <w:r w:rsidRPr="00AE2AE7">
        <w:rPr>
          <w:rFonts w:eastAsia="Calibri" w:cs="Times New Roman"/>
          <w:i/>
        </w:rPr>
        <w:t xml:space="preserve"> D. Přeložku si bude realizovat DS E.ON D na základě uzavřené smlouvy o přeložku se SŽDC (investorem). Tato část popisuje předpokládané řešení </w:t>
      </w:r>
      <w:proofErr w:type="gramStart"/>
      <w:r w:rsidRPr="00AE2AE7">
        <w:rPr>
          <w:rFonts w:eastAsia="Calibri" w:cs="Times New Roman"/>
          <w:i/>
        </w:rPr>
        <w:t>přeložky E.ON</w:t>
      </w:r>
      <w:proofErr w:type="gramEnd"/>
      <w:r w:rsidRPr="00AE2AE7">
        <w:rPr>
          <w:rFonts w:eastAsia="Calibri" w:cs="Times New Roman"/>
          <w:i/>
        </w:rPr>
        <w:t xml:space="preserve"> D z důvodu ostatních návazností stavby. Přeložka není předmětem PS a SO stavby.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17: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>V rámci předmětné stavby, i dle zadávací dokumentace, dojde k dotčení souvisejících staveb ať už aktuálně realizujících se či dokončených. Domníváme se správně, že tyto náklady si uchazeč zahrne do nabídky?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>Ano, uchazeč zahrne do nabídky nezbytné změny nebo nový stav související infrastruktury, která bude dotčena stavbou.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E2AE7">
        <w:rPr>
          <w:rFonts w:eastAsia="Calibri" w:cs="Times New Roman"/>
          <w:b/>
          <w:bCs/>
          <w:lang w:eastAsia="cs-CZ"/>
        </w:rPr>
        <w:t>Dotaz č. 18:</w:t>
      </w: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lang w:eastAsia="cs-CZ"/>
        </w:rPr>
        <w:t xml:space="preserve">V rámci „PS 03-28-01 ŽST Staré Město u Uherského Hradiště, úprava SZZ“ je uvedeno: „Stávající </w:t>
      </w:r>
      <w:proofErr w:type="spellStart"/>
      <w:r w:rsidRPr="00AE2AE7">
        <w:rPr>
          <w:rFonts w:eastAsia="Calibri" w:cs="Times New Roman"/>
          <w:lang w:eastAsia="cs-CZ"/>
        </w:rPr>
        <w:t>kabelovod</w:t>
      </w:r>
      <w:proofErr w:type="spellEnd"/>
      <w:r w:rsidRPr="00AE2AE7">
        <w:rPr>
          <w:rFonts w:eastAsia="Calibri" w:cs="Times New Roman"/>
          <w:lang w:eastAsia="cs-CZ"/>
        </w:rPr>
        <w:t xml:space="preserve"> mezi ostrovním nástupištěm a šachtou před stavědlovou ústřednou je zaplněn a neumožňuje výměnu kabelů. Z tohoto důvodu bude upravena stávající šachta před budovou a bude do ní zaústěn nový krátký </w:t>
      </w:r>
      <w:proofErr w:type="spellStart"/>
      <w:r w:rsidRPr="00AE2AE7">
        <w:rPr>
          <w:rFonts w:eastAsia="Calibri" w:cs="Times New Roman"/>
          <w:lang w:eastAsia="cs-CZ"/>
        </w:rPr>
        <w:t>kabelovod</w:t>
      </w:r>
      <w:proofErr w:type="spellEnd"/>
      <w:r w:rsidRPr="00AE2AE7">
        <w:rPr>
          <w:rFonts w:eastAsia="Calibri" w:cs="Times New Roman"/>
          <w:lang w:eastAsia="cs-CZ"/>
        </w:rPr>
        <w:t xml:space="preserve"> pro kabely od Nedakonic.“ Žádáme zadavatele o uvedení předpokládaného typu provedení (komorový plastový, betonový atd.) a především délky „nového krátkého </w:t>
      </w:r>
      <w:proofErr w:type="spellStart"/>
      <w:r w:rsidRPr="00AE2AE7">
        <w:rPr>
          <w:rFonts w:eastAsia="Calibri" w:cs="Times New Roman"/>
          <w:lang w:eastAsia="cs-CZ"/>
        </w:rPr>
        <w:t>kabelovodu</w:t>
      </w:r>
      <w:proofErr w:type="spellEnd"/>
      <w:r w:rsidRPr="00AE2AE7">
        <w:rPr>
          <w:rFonts w:eastAsia="Calibri" w:cs="Times New Roman"/>
          <w:lang w:eastAsia="cs-CZ"/>
        </w:rPr>
        <w:t>“.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2AE7" w:rsidRDefault="00AE2AE7" w:rsidP="00AE2A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AE7">
        <w:rPr>
          <w:rFonts w:eastAsia="Calibri" w:cs="Times New Roman"/>
          <w:b/>
          <w:lang w:eastAsia="cs-CZ"/>
        </w:rPr>
        <w:t>Odpověď</w:t>
      </w:r>
      <w:r w:rsidRPr="00AE2AE7">
        <w:rPr>
          <w:rFonts w:eastAsia="Calibri" w:cs="Times New Roman"/>
          <w:lang w:eastAsia="cs-CZ"/>
        </w:rPr>
        <w:t xml:space="preserve">: </w:t>
      </w:r>
    </w:p>
    <w:p w:rsidR="00AE2AE7" w:rsidRPr="00AE2AE7" w:rsidRDefault="00AE2AE7" w:rsidP="00AE2AE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AE2AE7">
        <w:rPr>
          <w:rFonts w:eastAsia="Calibri" w:cs="Times New Roman"/>
          <w:i/>
          <w:lang w:eastAsia="cs-CZ"/>
        </w:rPr>
        <w:t xml:space="preserve">Kabelová šachta před budovou je uvažována jako betonová, atypická a litá na místě. Z této nové šachty vede v profilu 1x2 kostky nový, cca 40m dlouhý </w:t>
      </w:r>
      <w:proofErr w:type="spellStart"/>
      <w:r w:rsidRPr="00AE2AE7">
        <w:rPr>
          <w:rFonts w:eastAsia="Calibri" w:cs="Times New Roman"/>
          <w:i/>
          <w:lang w:eastAsia="cs-CZ"/>
        </w:rPr>
        <w:t>kabelovod</w:t>
      </w:r>
      <w:proofErr w:type="spellEnd"/>
      <w:r w:rsidRPr="00AE2AE7">
        <w:rPr>
          <w:rFonts w:eastAsia="Calibri" w:cs="Times New Roman"/>
          <w:i/>
          <w:lang w:eastAsia="cs-CZ"/>
        </w:rPr>
        <w:t>. Tento je zakončen plastovou šachtou 1,1 x 1,7m.</w:t>
      </w:r>
    </w:p>
    <w:p w:rsidR="00AE2AE7" w:rsidRDefault="00AE2AE7" w:rsidP="00AE2AE7">
      <w:pPr>
        <w:tabs>
          <w:tab w:val="left" w:pos="567"/>
        </w:tabs>
        <w:spacing w:after="0" w:line="240" w:lineRule="auto"/>
        <w:rPr>
          <w:rFonts w:eastAsia="Times New Roman" w:cs="Times New Roman"/>
          <w:lang w:eastAsia="cs-CZ"/>
        </w:rPr>
      </w:pP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41EB7">
        <w:rPr>
          <w:rFonts w:eastAsia="Calibri" w:cs="Times New Roman"/>
          <w:b/>
          <w:bCs/>
          <w:lang w:eastAsia="cs-CZ"/>
        </w:rPr>
        <w:lastRenderedPageBreak/>
        <w:t>Dotaz č. 19: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PS 13-28-01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>. Hulín, úprava SZZ</w:t>
      </w:r>
    </w:p>
    <w:p w:rsid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V dokumentaci „Požadavky na výkon nebo funkci (3_Pož. na výkon nebo funkci.xls)“ je obsahem PS kopie obsahu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>. Tlumačov a neodpovídá údajům podle technické zprávy. Žádáme zadavatele o prověření a aktualizaci rekapitulace dat tohoto PS.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1EB7">
        <w:rPr>
          <w:rFonts w:eastAsia="Calibri" w:cs="Times New Roman"/>
          <w:b/>
          <w:lang w:eastAsia="cs-CZ"/>
        </w:rPr>
        <w:t>Odpověď</w:t>
      </w:r>
      <w:r w:rsidRPr="00841EB7">
        <w:rPr>
          <w:rFonts w:eastAsia="Calibri" w:cs="Times New Roman"/>
          <w:lang w:eastAsia="cs-CZ"/>
        </w:rPr>
        <w:t xml:space="preserve">: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841EB7">
        <w:rPr>
          <w:rFonts w:eastAsia="Calibri" w:cs="Times New Roman"/>
          <w:i/>
          <w:lang w:eastAsia="cs-CZ"/>
        </w:rPr>
        <w:t xml:space="preserve">Text byl upraven dle příslušné stanice. </w:t>
      </w:r>
      <w:r w:rsidR="00CF5C56" w:rsidRPr="00CF5C56">
        <w:rPr>
          <w:rFonts w:eastAsia="Calibri" w:cs="Times New Roman"/>
          <w:i/>
          <w:u w:val="single"/>
          <w:lang w:eastAsia="cs-CZ"/>
        </w:rPr>
        <w:t>Viz příloha.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41EB7">
        <w:rPr>
          <w:rFonts w:eastAsia="Calibri" w:cs="Times New Roman"/>
          <w:b/>
          <w:bCs/>
          <w:lang w:eastAsia="cs-CZ"/>
        </w:rPr>
        <w:t>Dotaz č. 20: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PS 15-28-01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>. Říkovice, úprava SZZ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V dokumentaci „Požadavky na výkon nebo funkci (3_Pož. na výkon nebo funkci.xls)“ je obsahem PS kopie obsahu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>. Tlumačov a neodpovídá údajům podle technické zprávy.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>Žádáme zadavatele o prověření a aktualizaci rekapitulace dat tohoto PS.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1EB7">
        <w:rPr>
          <w:rFonts w:eastAsia="Calibri" w:cs="Times New Roman"/>
          <w:b/>
          <w:lang w:eastAsia="cs-CZ"/>
        </w:rPr>
        <w:t>Odpověď</w:t>
      </w:r>
      <w:r w:rsidRPr="00841EB7">
        <w:rPr>
          <w:rFonts w:eastAsia="Calibri" w:cs="Times New Roman"/>
          <w:lang w:eastAsia="cs-CZ"/>
        </w:rPr>
        <w:t xml:space="preserve">: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841EB7">
        <w:rPr>
          <w:rFonts w:eastAsia="Calibri" w:cs="Times New Roman"/>
          <w:i/>
          <w:lang w:eastAsia="cs-CZ"/>
        </w:rPr>
        <w:t>Text byl upraven dle příslušné stanice.</w:t>
      </w:r>
      <w:r w:rsidR="00CF5C56">
        <w:rPr>
          <w:rFonts w:eastAsia="Calibri" w:cs="Times New Roman"/>
          <w:i/>
          <w:lang w:eastAsia="cs-CZ"/>
        </w:rPr>
        <w:t xml:space="preserve"> </w:t>
      </w:r>
      <w:r w:rsidR="00CF5C56" w:rsidRPr="00CF5C56">
        <w:rPr>
          <w:rFonts w:eastAsia="Calibri" w:cs="Times New Roman"/>
          <w:i/>
          <w:u w:val="single"/>
          <w:lang w:eastAsia="cs-CZ"/>
        </w:rPr>
        <w:t>Viz příloha.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41EB7">
        <w:rPr>
          <w:rFonts w:eastAsia="Calibri" w:cs="Times New Roman"/>
          <w:b/>
          <w:bCs/>
          <w:lang w:eastAsia="cs-CZ"/>
        </w:rPr>
        <w:t>Dotaz č. 21: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PS 20-28-01 </w:t>
      </w:r>
      <w:proofErr w:type="spellStart"/>
      <w:proofErr w:type="gramStart"/>
      <w:r w:rsidRPr="00841EB7">
        <w:rPr>
          <w:rFonts w:eastAsia="Calibri" w:cs="Times New Roman"/>
          <w:bCs/>
          <w:lang w:eastAsia="cs-CZ"/>
        </w:rPr>
        <w:t>t.ú</w:t>
      </w:r>
      <w:proofErr w:type="spellEnd"/>
      <w:r w:rsidRPr="00841EB7">
        <w:rPr>
          <w:rFonts w:eastAsia="Calibri" w:cs="Times New Roman"/>
          <w:bCs/>
          <w:lang w:eastAsia="cs-CZ"/>
        </w:rPr>
        <w:t>.</w:t>
      </w:r>
      <w:proofErr w:type="gramEnd"/>
      <w:r w:rsidRPr="00841EB7">
        <w:rPr>
          <w:rFonts w:eastAsia="Calibri" w:cs="Times New Roman"/>
          <w:bCs/>
          <w:lang w:eastAsia="cs-CZ"/>
        </w:rPr>
        <w:t xml:space="preserve"> Staré </w:t>
      </w:r>
      <w:proofErr w:type="gramStart"/>
      <w:r w:rsidRPr="00841EB7">
        <w:rPr>
          <w:rFonts w:eastAsia="Calibri" w:cs="Times New Roman"/>
          <w:bCs/>
          <w:lang w:eastAsia="cs-CZ"/>
        </w:rPr>
        <w:t>Město u U.H.</w:t>
      </w:r>
      <w:proofErr w:type="gramEnd"/>
      <w:r w:rsidRPr="00841EB7">
        <w:rPr>
          <w:rFonts w:eastAsia="Calibri" w:cs="Times New Roman"/>
          <w:bCs/>
          <w:lang w:eastAsia="cs-CZ"/>
        </w:rPr>
        <w:t xml:space="preserve"> - Uherské Hradiště, úprava TZZ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V dokumentaci „Požadavky na výkon nebo funkci (3_Pož. na výkon nebo funkci.xls)“ je obsahem PS informace, vztahující se k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 xml:space="preserve">. Hulín.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>Žádáme zadavatele o prověření a aktualizaci rekapitulace dat tohoto PS.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1EB7">
        <w:rPr>
          <w:rFonts w:eastAsia="Calibri" w:cs="Times New Roman"/>
          <w:b/>
          <w:lang w:eastAsia="cs-CZ"/>
        </w:rPr>
        <w:t>Odpověď</w:t>
      </w:r>
      <w:r w:rsidRPr="00841EB7">
        <w:rPr>
          <w:rFonts w:eastAsia="Calibri" w:cs="Times New Roman"/>
          <w:lang w:eastAsia="cs-CZ"/>
        </w:rPr>
        <w:t xml:space="preserve">: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841EB7">
        <w:rPr>
          <w:rFonts w:eastAsia="Calibri" w:cs="Times New Roman"/>
          <w:i/>
          <w:lang w:eastAsia="cs-CZ"/>
        </w:rPr>
        <w:t xml:space="preserve">Text byl upraven dle příslušné stanice. </w:t>
      </w:r>
      <w:r w:rsidR="00CF5C56" w:rsidRPr="00CF5C56">
        <w:rPr>
          <w:rFonts w:eastAsia="Calibri" w:cs="Times New Roman"/>
          <w:i/>
          <w:u w:val="single"/>
          <w:lang w:eastAsia="cs-CZ"/>
        </w:rPr>
        <w:t>Viz příloha.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41EB7">
        <w:rPr>
          <w:rFonts w:eastAsia="Calibri" w:cs="Times New Roman"/>
          <w:b/>
          <w:bCs/>
          <w:lang w:eastAsia="cs-CZ"/>
        </w:rPr>
        <w:t>Dotaz č. 22: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PS 15-28-01 </w:t>
      </w:r>
      <w:proofErr w:type="spellStart"/>
      <w:r w:rsidRPr="00841EB7">
        <w:rPr>
          <w:rFonts w:eastAsia="Calibri" w:cs="Times New Roman"/>
          <w:bCs/>
          <w:lang w:eastAsia="cs-CZ"/>
        </w:rPr>
        <w:t>žst</w:t>
      </w:r>
      <w:proofErr w:type="spellEnd"/>
      <w:r w:rsidRPr="00841EB7">
        <w:rPr>
          <w:rFonts w:eastAsia="Calibri" w:cs="Times New Roman"/>
          <w:bCs/>
          <w:lang w:eastAsia="cs-CZ"/>
        </w:rPr>
        <w:t xml:space="preserve"> Říkovice, úprava SZZ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V dokumentaci je uvedeno: „Část </w:t>
      </w:r>
      <w:proofErr w:type="spellStart"/>
      <w:r w:rsidRPr="00841EB7">
        <w:rPr>
          <w:rFonts w:eastAsia="Calibri" w:cs="Times New Roman"/>
          <w:bCs/>
          <w:lang w:eastAsia="cs-CZ"/>
        </w:rPr>
        <w:t>kabelovodu</w:t>
      </w:r>
      <w:proofErr w:type="spellEnd"/>
      <w:r w:rsidRPr="00841EB7">
        <w:rPr>
          <w:rFonts w:eastAsia="Calibri" w:cs="Times New Roman"/>
          <w:bCs/>
          <w:lang w:eastAsia="cs-CZ"/>
        </w:rPr>
        <w:t xml:space="preserve"> na liché straně kolejiště, v prostoru uhelných skladů, je fyzicky poškozena a bude nahrazena novým </w:t>
      </w:r>
      <w:proofErr w:type="spellStart"/>
      <w:r w:rsidRPr="00841EB7">
        <w:rPr>
          <w:rFonts w:eastAsia="Calibri" w:cs="Times New Roman"/>
          <w:bCs/>
          <w:lang w:eastAsia="cs-CZ"/>
        </w:rPr>
        <w:t>kabelovodem</w:t>
      </w:r>
      <w:proofErr w:type="spellEnd"/>
      <w:r w:rsidRPr="00841EB7">
        <w:rPr>
          <w:rFonts w:eastAsia="Calibri" w:cs="Times New Roman"/>
          <w:bCs/>
          <w:lang w:eastAsia="cs-CZ"/>
        </w:rPr>
        <w:t xml:space="preserve">.“.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1EB7">
        <w:rPr>
          <w:rFonts w:eastAsia="Calibri" w:cs="Times New Roman"/>
          <w:bCs/>
          <w:lang w:eastAsia="cs-CZ"/>
        </w:rPr>
        <w:t xml:space="preserve">Žádáme zadavatele o uvedení délky nového </w:t>
      </w:r>
      <w:proofErr w:type="spellStart"/>
      <w:r w:rsidRPr="00841EB7">
        <w:rPr>
          <w:rFonts w:eastAsia="Calibri" w:cs="Times New Roman"/>
          <w:bCs/>
          <w:lang w:eastAsia="cs-CZ"/>
        </w:rPr>
        <w:t>kabelovodu</w:t>
      </w:r>
      <w:proofErr w:type="spellEnd"/>
      <w:r w:rsidRPr="00841EB7">
        <w:rPr>
          <w:rFonts w:eastAsia="Calibri" w:cs="Times New Roman"/>
          <w:bCs/>
          <w:lang w:eastAsia="cs-CZ"/>
        </w:rPr>
        <w:t xml:space="preserve"> nahrazující poškozený a předpokládaný typ provedení (komorový plastový, betonový atd.).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1EB7">
        <w:rPr>
          <w:rFonts w:eastAsia="Calibri" w:cs="Times New Roman"/>
          <w:b/>
          <w:lang w:eastAsia="cs-CZ"/>
        </w:rPr>
        <w:t>Odpověď</w:t>
      </w:r>
      <w:r w:rsidRPr="00841EB7">
        <w:rPr>
          <w:rFonts w:eastAsia="Calibri" w:cs="Times New Roman"/>
          <w:lang w:eastAsia="cs-CZ"/>
        </w:rPr>
        <w:t xml:space="preserve">: </w:t>
      </w:r>
    </w:p>
    <w:p w:rsidR="00841EB7" w:rsidRPr="00841EB7" w:rsidRDefault="00841EB7" w:rsidP="00841EB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841EB7">
        <w:rPr>
          <w:rFonts w:eastAsia="Calibri" w:cs="Times New Roman"/>
          <w:i/>
          <w:lang w:eastAsia="cs-CZ"/>
        </w:rPr>
        <w:t xml:space="preserve">Jedná se o nový </w:t>
      </w:r>
      <w:proofErr w:type="spellStart"/>
      <w:r w:rsidRPr="00841EB7">
        <w:rPr>
          <w:rFonts w:eastAsia="Calibri" w:cs="Times New Roman"/>
          <w:i/>
          <w:lang w:eastAsia="cs-CZ"/>
        </w:rPr>
        <w:t>kabelovod</w:t>
      </w:r>
      <w:proofErr w:type="spellEnd"/>
      <w:r w:rsidRPr="00841EB7">
        <w:rPr>
          <w:rFonts w:eastAsia="Calibri" w:cs="Times New Roman"/>
          <w:i/>
          <w:lang w:eastAsia="cs-CZ"/>
        </w:rPr>
        <w:t xml:space="preserve"> 2x9 otvorů, celkové délky 105m. Osazený 3ks plastových šachet 1,1m x 1,7m. </w:t>
      </w:r>
    </w:p>
    <w:p w:rsidR="00841EB7" w:rsidRDefault="00841EB7" w:rsidP="00841EB7">
      <w:pPr>
        <w:tabs>
          <w:tab w:val="left" w:pos="567"/>
        </w:tabs>
        <w:spacing w:after="0" w:line="240" w:lineRule="auto"/>
        <w:rPr>
          <w:rFonts w:eastAsia="Times New Roman" w:cs="Times New Roman"/>
          <w:lang w:eastAsia="cs-CZ"/>
        </w:rPr>
      </w:pPr>
    </w:p>
    <w:p w:rsidR="00AE2AE7" w:rsidRPr="000E11CC" w:rsidRDefault="00AE2AE7" w:rsidP="00841EB7">
      <w:pPr>
        <w:tabs>
          <w:tab w:val="left" w:pos="567"/>
        </w:tabs>
        <w:spacing w:after="0" w:line="240" w:lineRule="auto"/>
        <w:rPr>
          <w:rFonts w:eastAsia="Calibri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E11CC">
        <w:rPr>
          <w:rFonts w:eastAsia="Times New Roman" w:cs="Times New Roman"/>
          <w:u w:val="single"/>
          <w:lang w:eastAsia="cs-CZ"/>
        </w:rPr>
        <w:t xml:space="preserve">Zadavatel </w:t>
      </w:r>
      <w:r w:rsidRPr="000E11CC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0E11CC">
        <w:rPr>
          <w:rFonts w:eastAsia="Times New Roman" w:cs="Times New Roman"/>
          <w:u w:val="single"/>
          <w:lang w:eastAsia="cs-CZ"/>
        </w:rPr>
        <w:t xml:space="preserve"> </w:t>
      </w:r>
      <w:r w:rsidRPr="000E11CC">
        <w:rPr>
          <w:rFonts w:eastAsia="Calibri" w:cs="Times New Roman"/>
          <w:u w:val="single"/>
          <w:lang w:eastAsia="cs-CZ"/>
        </w:rPr>
        <w:t>bez předchozí žádosti.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E11CC" w:rsidRPr="000E11CC" w:rsidRDefault="000E11CC" w:rsidP="000E11CC">
      <w:pPr>
        <w:spacing w:after="200" w:line="276" w:lineRule="auto"/>
        <w:rPr>
          <w:rFonts w:eastAsia="Calibri" w:cs="Times New Roman"/>
        </w:rPr>
      </w:pPr>
      <w:r w:rsidRPr="000E11CC">
        <w:rPr>
          <w:rFonts w:eastAsia="Calibri" w:cs="Times New Roman"/>
        </w:rPr>
        <w:t xml:space="preserve">V návaznosti na nové webové stránky SŽDC a jinak nastavený odkaz na vnitřní předpisy (aktivní od 30. 4.) byl ve vzorech v Pokynech pro dodavatele v čl. 6.3 upraven odkaz na vnitřní předpisy SŽDC. 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E11CC">
        <w:rPr>
          <w:rFonts w:eastAsia="Calibri" w:cs="Times New Roman"/>
          <w:lang w:eastAsia="cs-CZ"/>
        </w:rPr>
        <w:t>Z toho důvodu se článek 6.3 Pokynů pro dodavatele se mění následovně: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E11CC">
        <w:rPr>
          <w:rFonts w:eastAsia="Calibri" w:cs="Times New Roman"/>
          <w:u w:val="single"/>
          <w:lang w:eastAsia="cs-CZ"/>
        </w:rPr>
        <w:t>Původní znění:</w:t>
      </w:r>
    </w:p>
    <w:p w:rsidR="000E11CC" w:rsidRPr="000E11CC" w:rsidRDefault="000E11CC" w:rsidP="000E11CC">
      <w:pPr>
        <w:spacing w:after="0" w:line="240" w:lineRule="auto"/>
        <w:ind w:left="708"/>
        <w:jc w:val="both"/>
        <w:rPr>
          <w:rFonts w:eastAsia="Calibri" w:cs="Times New Roman"/>
        </w:rPr>
      </w:pPr>
      <w:r w:rsidRPr="000E11CC">
        <w:rPr>
          <w:rFonts w:eastAsia="Times New Roman" w:cs="Times New Roman"/>
          <w:lang w:eastAsia="cs-CZ"/>
        </w:rPr>
        <w:t xml:space="preserve">Zadavatel umožňuje dodavateli přístup ke  svým interním předpisům následujícím způsobem: </w:t>
      </w:r>
      <w:hyperlink r:id="rId12" w:history="1">
        <w:r w:rsidRPr="000E11CC">
          <w:rPr>
            <w:rFonts w:eastAsia="Calibri" w:cs="Times New Roman"/>
            <w:color w:val="0000FF"/>
            <w:u w:val="single"/>
          </w:rPr>
          <w:t>http://www.tudc.cz/</w:t>
        </w:r>
      </w:hyperlink>
      <w:r w:rsidRPr="000E11CC">
        <w:rPr>
          <w:rFonts w:eastAsia="Calibri" w:cs="Times New Roman"/>
        </w:rPr>
        <w:t xml:space="preserve">  nebo</w:t>
      </w:r>
    </w:p>
    <w:p w:rsidR="000E11CC" w:rsidRPr="000E11CC" w:rsidRDefault="00D21417" w:rsidP="000E11CC">
      <w:pPr>
        <w:tabs>
          <w:tab w:val="num" w:pos="3563"/>
        </w:tabs>
        <w:spacing w:after="0" w:line="240" w:lineRule="auto"/>
        <w:ind w:left="709"/>
        <w:jc w:val="both"/>
        <w:rPr>
          <w:rFonts w:eastAsia="Calibri" w:cs="Times New Roman"/>
        </w:rPr>
      </w:pPr>
      <w:hyperlink r:id="rId13" w:history="1">
        <w:r w:rsidR="000E11CC" w:rsidRPr="000E11CC">
          <w:rPr>
            <w:rFonts w:eastAsia="Calibri" w:cs="Times New Roman"/>
            <w:color w:val="0000FF"/>
            <w:u w:val="single"/>
          </w:rPr>
          <w:t>http://www.szdc.cz/dalsi-informace/dokumenty-a-predpisy.html</w:t>
        </w:r>
      </w:hyperlink>
    </w:p>
    <w:p w:rsidR="000E11CC" w:rsidRPr="000E11CC" w:rsidRDefault="000E11CC" w:rsidP="000E11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0E11CC">
        <w:rPr>
          <w:rFonts w:eastAsia="Times New Roman" w:cs="Times New Roman"/>
          <w:u w:val="single"/>
          <w:lang w:eastAsia="cs-CZ"/>
        </w:rPr>
        <w:t>Nové znění:</w:t>
      </w:r>
    </w:p>
    <w:p w:rsidR="000E11CC" w:rsidRPr="000E11CC" w:rsidRDefault="000E11CC" w:rsidP="000E11CC">
      <w:pPr>
        <w:spacing w:after="0"/>
        <w:ind w:left="737" w:hanging="29"/>
        <w:jc w:val="both"/>
        <w:rPr>
          <w:rFonts w:eastAsia="Calibri" w:cs="Times New Roman"/>
        </w:rPr>
      </w:pPr>
      <w:r w:rsidRPr="000E11CC">
        <w:rPr>
          <w:rFonts w:eastAsia="Calibri" w:cs="Times New Roman"/>
        </w:rPr>
        <w:t xml:space="preserve">Zadavatel umožňuje dodavateli přístup ke všem svým interním předpisům následujícím způsobem: </w:t>
      </w:r>
      <w:hyperlink r:id="rId14" w:history="1">
        <w:r w:rsidRPr="00D401A4">
          <w:rPr>
            <w:rFonts w:eastAsia="Calibri" w:cs="Times New Roman"/>
            <w:color w:val="0000FF"/>
            <w:u w:val="single"/>
          </w:rPr>
          <w:t>http://www.tudc.cz/</w:t>
        </w:r>
      </w:hyperlink>
      <w:r w:rsidRPr="000E11CC">
        <w:rPr>
          <w:rFonts w:eastAsia="Calibri" w:cs="Times New Roman"/>
        </w:rPr>
        <w:t xml:space="preserve"> nebo </w:t>
      </w:r>
      <w:hyperlink r:id="rId15" w:history="1">
        <w:r w:rsidRPr="00D401A4">
          <w:rPr>
            <w:rFonts w:eastAsia="Calibri" w:cs="Times New Roman"/>
            <w:color w:val="0000FF"/>
            <w:u w:val="single"/>
          </w:rPr>
          <w:t>https://www.szdc.cz/</w:t>
        </w:r>
      </w:hyperlink>
      <w:r w:rsidRPr="000E11CC">
        <w:rPr>
          <w:rFonts w:eastAsia="Calibri" w:cs="Times New Roman"/>
        </w:rPr>
        <w:t xml:space="preserve"> (v sekci „O </w:t>
      </w:r>
      <w:proofErr w:type="gramStart"/>
      <w:r w:rsidRPr="000E11CC">
        <w:rPr>
          <w:rFonts w:eastAsia="Calibri" w:cs="Times New Roman"/>
        </w:rPr>
        <w:t>nás“ –&gt; „Vnitřní</w:t>
      </w:r>
      <w:proofErr w:type="gramEnd"/>
      <w:r w:rsidRPr="000E11CC">
        <w:rPr>
          <w:rFonts w:eastAsia="Calibri" w:cs="Times New Roman"/>
        </w:rPr>
        <w:t xml:space="preserve"> předpisy“ odkaz „Dokumenty a předpisy“).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11CC" w:rsidRPr="00841EB7" w:rsidRDefault="000E11CC" w:rsidP="000E11CC">
      <w:pPr>
        <w:spacing w:after="0" w:line="240" w:lineRule="auto"/>
        <w:jc w:val="both"/>
        <w:rPr>
          <w:rFonts w:eastAsia="Calibri" w:cs="Times New Roman"/>
          <w:bCs/>
        </w:rPr>
      </w:pPr>
      <w:r w:rsidRPr="00841EB7">
        <w:rPr>
          <w:rFonts w:eastAsia="Calibri" w:cs="Times New Roman"/>
          <w:bCs/>
        </w:rPr>
        <w:lastRenderedPageBreak/>
        <w:t>Povaha shora uvedených vysvětlení/ změn/ doplnění zadávací dokumentace nevyžaduje prodloužení lhůty pro podání nabídek.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11CC">
        <w:rPr>
          <w:rFonts w:eastAsia="Times New Roman" w:cs="Times New Roman"/>
          <w:lang w:eastAsia="cs-CZ"/>
        </w:rPr>
        <w:t xml:space="preserve">Vzhledem ke skutečnosti, že byla zadavatelem zmeškána lhůta pro uveřejnění  vysvětlení/ změny/ doplnění zadávací dokumentace o jeden pracovní den, postupuje zadavatel v souladu s ust. § 99 odst. 2 ZZVZ a prodlužuje lhůtu pro podání nabídek ze dne </w:t>
      </w:r>
      <w:r w:rsidRPr="000E11CC">
        <w:rPr>
          <w:rFonts w:eastAsia="Times New Roman" w:cs="Times New Roman"/>
          <w:lang w:eastAsia="cs-CZ"/>
        </w:rPr>
        <w:br/>
        <w:t>15. 5. 2019 na den 16. 5. 2019.</w:t>
      </w: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E11CC" w:rsidRPr="000E11CC" w:rsidRDefault="000E11CC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E11CC" w:rsidRPr="000E11CC" w:rsidRDefault="000E11CC" w:rsidP="000E11C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11CC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 w:rsidRPr="000E11CC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E11CC">
        <w:rPr>
          <w:rFonts w:eastAsia="Times New Roman" w:cs="Times New Roman"/>
          <w:lang w:eastAsia="cs-CZ"/>
        </w:rPr>
        <w:t xml:space="preserve"> (evidenční </w:t>
      </w:r>
      <w:r w:rsidR="00CF5C56">
        <w:rPr>
          <w:rFonts w:eastAsia="Times New Roman" w:cs="Times New Roman"/>
          <w:lang w:eastAsia="cs-CZ"/>
        </w:rPr>
        <w:br/>
      </w:r>
      <w:r w:rsidRPr="000E11CC">
        <w:rPr>
          <w:rFonts w:eastAsia="Times New Roman" w:cs="Times New Roman"/>
          <w:lang w:eastAsia="cs-CZ"/>
        </w:rPr>
        <w:t>č. VZ Z2019-006580). Změny se týkají těchto ustanovení:</w:t>
      </w:r>
    </w:p>
    <w:p w:rsidR="000E11CC" w:rsidRPr="000E11CC" w:rsidRDefault="000E11CC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E11CC" w:rsidRPr="000E11CC" w:rsidRDefault="000E11CC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E11CC">
        <w:rPr>
          <w:rFonts w:eastAsia="Times New Roman" w:cs="Times New Roman"/>
          <w:b/>
          <w:lang w:eastAsia="cs-CZ"/>
        </w:rPr>
        <w:t xml:space="preserve">Oddíl IV. 2.2): </w:t>
      </w:r>
    </w:p>
    <w:p w:rsidR="000E11CC" w:rsidRPr="000E11CC" w:rsidRDefault="00C93EE9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29. 4</w:t>
      </w:r>
      <w:r w:rsidR="000E11CC" w:rsidRPr="000E11CC">
        <w:rPr>
          <w:rFonts w:eastAsia="Times New Roman" w:cs="Times New Roman"/>
          <w:lang w:eastAsia="cs-CZ"/>
        </w:rPr>
        <w:t>. 2019 v 10:00 hod. a nahrazujeme datem 16. 5. 2019 v 10:00 hod.,</w:t>
      </w:r>
      <w:r w:rsidR="000E11CC" w:rsidRPr="000E11CC">
        <w:rPr>
          <w:rFonts w:eastAsia="Times New Roman" w:cs="Times New Roman"/>
          <w:b/>
          <w:lang w:eastAsia="cs-CZ"/>
        </w:rPr>
        <w:t xml:space="preserve"> </w:t>
      </w:r>
    </w:p>
    <w:p w:rsidR="000E11CC" w:rsidRPr="000E11CC" w:rsidRDefault="000E11CC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E11CC">
        <w:rPr>
          <w:rFonts w:eastAsia="Times New Roman" w:cs="Times New Roman"/>
          <w:b/>
          <w:lang w:eastAsia="cs-CZ"/>
        </w:rPr>
        <w:t xml:space="preserve">Oddíl IV. 2.7): </w:t>
      </w:r>
    </w:p>
    <w:p w:rsidR="000E11CC" w:rsidRPr="000E11CC" w:rsidRDefault="00C93EE9" w:rsidP="000E11CC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29. 4</w:t>
      </w:r>
      <w:r w:rsidR="000E11CC" w:rsidRPr="000E11CC">
        <w:rPr>
          <w:rFonts w:eastAsia="Times New Roman" w:cs="Times New Roman"/>
          <w:lang w:eastAsia="cs-CZ"/>
        </w:rPr>
        <w:t>. 2019 v 10:00 hod. a nahrazujeme datem 16. 5. 2019 v 10:00 hod.</w:t>
      </w:r>
    </w:p>
    <w:p w:rsidR="000E11CC" w:rsidRPr="000E11CC" w:rsidRDefault="000E11CC" w:rsidP="000E11CC">
      <w:pPr>
        <w:spacing w:after="0" w:line="240" w:lineRule="auto"/>
        <w:rPr>
          <w:rFonts w:eastAsia="Times New Roman" w:cs="Times New Roman"/>
          <w:lang w:eastAsia="cs-CZ"/>
        </w:rPr>
      </w:pPr>
    </w:p>
    <w:p w:rsidR="000E11CC" w:rsidRPr="000E11CC" w:rsidRDefault="000E11CC" w:rsidP="000E11C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E11CC">
        <w:rPr>
          <w:rFonts w:eastAsia="Calibri" w:cs="Times New Roman"/>
          <w:lang w:eastAsia="cs-CZ"/>
        </w:rPr>
        <w:t xml:space="preserve">Změnu zadávací dokumentace včetně příloh zadavatel uveřejňuje na profilu zadavatele na webovém portálu </w:t>
      </w:r>
      <w:hyperlink r:id="rId17" w:history="1">
        <w:r w:rsidRPr="000E11CC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0E11CC">
        <w:rPr>
          <w:rFonts w:eastAsia="Calibri" w:cs="Times New Roman"/>
          <w:u w:val="single"/>
          <w:lang w:eastAsia="cs-CZ"/>
        </w:rPr>
        <w:t>.</w:t>
      </w:r>
    </w:p>
    <w:p w:rsidR="009D43EC" w:rsidRDefault="009D43EC" w:rsidP="009D43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4763B" w:rsidRDefault="00D4763B" w:rsidP="009D43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F5C56" w:rsidRDefault="00841EB7" w:rsidP="00841EB7">
      <w:pPr>
        <w:tabs>
          <w:tab w:val="center" w:pos="7371"/>
        </w:tabs>
        <w:spacing w:after="0" w:line="240" w:lineRule="auto"/>
        <w:rPr>
          <w:rFonts w:cs="Times New Roman"/>
          <w:b/>
          <w:bCs/>
          <w:lang w:eastAsia="cs-CZ"/>
        </w:rPr>
      </w:pPr>
      <w:r w:rsidRPr="00841EB7">
        <w:rPr>
          <w:rFonts w:cs="Times New Roman"/>
          <w:b/>
          <w:bCs/>
          <w:lang w:eastAsia="cs-CZ"/>
        </w:rPr>
        <w:t xml:space="preserve">Příloha: </w:t>
      </w:r>
    </w:p>
    <w:p w:rsidR="00841EB7" w:rsidRPr="00841EB7" w:rsidRDefault="00841EB7" w:rsidP="00841EB7">
      <w:pPr>
        <w:tabs>
          <w:tab w:val="center" w:pos="7371"/>
        </w:tabs>
        <w:spacing w:after="0" w:line="240" w:lineRule="auto"/>
        <w:rPr>
          <w:rFonts w:cs="Times New Roman"/>
          <w:b/>
          <w:bCs/>
          <w:lang w:eastAsia="cs-CZ"/>
        </w:rPr>
      </w:pPr>
      <w:r w:rsidRPr="00841EB7">
        <w:rPr>
          <w:rFonts w:cs="Times New Roman"/>
          <w:bCs/>
          <w:lang w:eastAsia="cs-CZ"/>
        </w:rPr>
        <w:t>3_Pož. na výkon nebo funkci</w:t>
      </w:r>
      <w:r>
        <w:rPr>
          <w:rFonts w:cs="Times New Roman"/>
          <w:bCs/>
          <w:lang w:eastAsia="cs-CZ"/>
        </w:rPr>
        <w:t>.xls</w:t>
      </w:r>
    </w:p>
    <w:p w:rsidR="00D4763B" w:rsidRDefault="00D4763B" w:rsidP="009D43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9D43EC" w:rsidRPr="009D43EC" w:rsidRDefault="009D43EC" w:rsidP="009D43EC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</w:p>
    <w:p w:rsidR="003146C8" w:rsidRDefault="003146C8" w:rsidP="005C6BF6">
      <w:pPr>
        <w:pStyle w:val="Bezmezer"/>
        <w:rPr>
          <w:b/>
          <w:highlight w:val="green"/>
        </w:rPr>
      </w:pPr>
    </w:p>
    <w:p w:rsidR="00841EB7" w:rsidRDefault="00841EB7" w:rsidP="005C6BF6">
      <w:pPr>
        <w:pStyle w:val="Bezmezer"/>
        <w:rPr>
          <w:b/>
          <w:highlight w:val="green"/>
        </w:rPr>
      </w:pPr>
    </w:p>
    <w:p w:rsidR="00841EB7" w:rsidRDefault="00841EB7" w:rsidP="005C6BF6">
      <w:pPr>
        <w:pStyle w:val="Bezmezer"/>
        <w:rPr>
          <w:b/>
          <w:highlight w:val="green"/>
        </w:rPr>
      </w:pPr>
    </w:p>
    <w:p w:rsidR="00841EB7" w:rsidRDefault="00841EB7" w:rsidP="005C6BF6">
      <w:pPr>
        <w:pStyle w:val="Bezmezer"/>
        <w:rPr>
          <w:b/>
          <w:highlight w:val="green"/>
        </w:rPr>
      </w:pPr>
    </w:p>
    <w:p w:rsidR="00841EB7" w:rsidRDefault="00841EB7" w:rsidP="005C6BF6">
      <w:pPr>
        <w:pStyle w:val="Bezmezer"/>
        <w:rPr>
          <w:b/>
          <w:highlight w:val="green"/>
        </w:rPr>
      </w:pPr>
    </w:p>
    <w:p w:rsidR="005C6BF6" w:rsidRPr="00AE2AE7" w:rsidRDefault="005C6BF6" w:rsidP="005C6BF6">
      <w:pPr>
        <w:pStyle w:val="Bezmezer"/>
        <w:rPr>
          <w:b/>
        </w:rPr>
      </w:pPr>
      <w:r w:rsidRPr="00AE2AE7">
        <w:rPr>
          <w:b/>
        </w:rPr>
        <w:t xml:space="preserve">Ing. </w:t>
      </w:r>
      <w:r w:rsidR="00D21417">
        <w:rPr>
          <w:b/>
        </w:rPr>
        <w:t>Libor Kuta</w:t>
      </w:r>
    </w:p>
    <w:p w:rsidR="005C6BF6" w:rsidRPr="00AE2AE7" w:rsidRDefault="00D21417" w:rsidP="005C6BF6">
      <w:pPr>
        <w:pStyle w:val="Bezmezer"/>
      </w:pPr>
      <w:r>
        <w:t>Vedoucí oddělení zadávání investic</w:t>
      </w:r>
    </w:p>
    <w:p w:rsidR="005C6BF6" w:rsidRDefault="005C6BF6" w:rsidP="005C6BF6">
      <w:pPr>
        <w:pStyle w:val="Bezmezer"/>
      </w:pPr>
      <w:r w:rsidRPr="00AE2AE7">
        <w:t xml:space="preserve">na základě „Pověření“ č. </w:t>
      </w:r>
      <w:r w:rsidR="00D21417">
        <w:t>1937</w:t>
      </w:r>
      <w:r w:rsidR="00015E93" w:rsidRPr="00AE2AE7">
        <w:t xml:space="preserve"> </w:t>
      </w:r>
      <w:r w:rsidR="00D21417">
        <w:t>ze dne 2</w:t>
      </w:r>
      <w:r w:rsidRPr="00AE2AE7">
        <w:t xml:space="preserve">. </w:t>
      </w:r>
      <w:r w:rsidR="00D21417">
        <w:t>7. 2015</w:t>
      </w:r>
    </w:p>
    <w:p w:rsidR="00D21417" w:rsidRPr="00AE2AE7" w:rsidRDefault="00D21417" w:rsidP="005C6BF6">
      <w:pPr>
        <w:pStyle w:val="Bezmezer"/>
      </w:pPr>
      <w:r>
        <w:t>odbor investiční</w:t>
      </w:r>
    </w:p>
    <w:p w:rsidR="00E96541" w:rsidRDefault="005C6BF6" w:rsidP="005C6BF6">
      <w:pPr>
        <w:pStyle w:val="Bezmezer"/>
      </w:pPr>
      <w:r w:rsidRPr="00AE2AE7">
        <w:t>Správa železniční do</w:t>
      </w:r>
      <w:bookmarkStart w:id="3" w:name="_GoBack"/>
      <w:bookmarkEnd w:id="3"/>
      <w:r w:rsidRPr="00AE2AE7">
        <w:t>pravní cesty</w:t>
      </w:r>
      <w:r w:rsidR="00015E93" w:rsidRPr="00AE2AE7">
        <w:t xml:space="preserve">, </w:t>
      </w:r>
      <w:r w:rsidRPr="00AE2AE7">
        <w:t>státní organizace</w:t>
      </w:r>
    </w:p>
    <w:sectPr w:rsidR="00E96541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67" w:rsidRDefault="00A26B67" w:rsidP="00962258">
      <w:pPr>
        <w:spacing w:after="0" w:line="240" w:lineRule="auto"/>
      </w:pPr>
      <w:r>
        <w:separator/>
      </w:r>
    </w:p>
  </w:endnote>
  <w:endnote w:type="continuationSeparator" w:id="0">
    <w:p w:rsidR="00A26B67" w:rsidRDefault="00A26B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141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41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00740E" wp14:editId="3A711F3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C8656B" wp14:editId="42E76F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1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41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976E0" w:rsidRPr="008976E0" w:rsidRDefault="008976E0" w:rsidP="008976E0">
          <w:pPr>
            <w:pStyle w:val="Zpat"/>
            <w:rPr>
              <w:b/>
            </w:rPr>
          </w:pPr>
          <w:r w:rsidRPr="008976E0">
            <w:rPr>
              <w:b/>
            </w:rPr>
            <w:t>Stavební správa východ</w:t>
          </w:r>
        </w:p>
        <w:p w:rsidR="007A456A" w:rsidRPr="004B0377" w:rsidRDefault="007A456A" w:rsidP="007A456A">
          <w:pPr>
            <w:pStyle w:val="Zpat"/>
            <w:rPr>
              <w:b/>
            </w:rPr>
          </w:pPr>
          <w:r w:rsidRPr="004B0377">
            <w:rPr>
              <w:b/>
            </w:rPr>
            <w:t>Nerudova 773/1</w:t>
          </w:r>
        </w:p>
        <w:p w:rsidR="00F1715C" w:rsidRDefault="008976E0" w:rsidP="008976E0">
          <w:pPr>
            <w:pStyle w:val="Zpat"/>
          </w:pPr>
          <w:r w:rsidRPr="008976E0"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2FE72C" wp14:editId="34C457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B66651E" wp14:editId="524214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67" w:rsidRDefault="00A26B67" w:rsidP="00962258">
      <w:pPr>
        <w:spacing w:after="0" w:line="240" w:lineRule="auto"/>
      </w:pPr>
      <w:r>
        <w:separator/>
      </w:r>
    </w:p>
  </w:footnote>
  <w:footnote w:type="continuationSeparator" w:id="0">
    <w:p w:rsidR="00A26B67" w:rsidRDefault="00A26B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3B99CBC" wp14:editId="42BEC3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B513D08" wp14:editId="669F268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2962C51" wp14:editId="562ECB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1BC1B2C"/>
    <w:multiLevelType w:val="hybridMultilevel"/>
    <w:tmpl w:val="31447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733E0"/>
    <w:multiLevelType w:val="hybridMultilevel"/>
    <w:tmpl w:val="931C2CA4"/>
    <w:lvl w:ilvl="0" w:tplc="0405000B">
      <w:start w:val="1"/>
      <w:numFmt w:val="bullet"/>
      <w:lvlText w:val=""/>
      <w:lvlJc w:val="left"/>
      <w:pPr>
        <w:ind w:left="3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32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12333"/>
    <w:multiLevelType w:val="hybridMultilevel"/>
    <w:tmpl w:val="1A9E86D2"/>
    <w:lvl w:ilvl="0" w:tplc="E4623B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>
    <w:nsid w:val="61F07397"/>
    <w:multiLevelType w:val="hybridMultilevel"/>
    <w:tmpl w:val="675A820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7"/>
  </w:num>
  <w:num w:numId="35">
    <w:abstractNumId w:val="1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13"/>
  </w:num>
  <w:num w:numId="41">
    <w:abstractNumId w:val="4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2"/>
  </w:num>
  <w:num w:numId="47">
    <w:abstractNumId w:val="3"/>
  </w:num>
  <w:num w:numId="48">
    <w:abstractNumId w:val="11"/>
  </w:num>
  <w:num w:numId="49">
    <w:abstractNumId w:val="10"/>
  </w:num>
  <w:num w:numId="5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E0"/>
    <w:rsid w:val="00015E93"/>
    <w:rsid w:val="00033432"/>
    <w:rsid w:val="000335CC"/>
    <w:rsid w:val="00072C1E"/>
    <w:rsid w:val="000B7907"/>
    <w:rsid w:val="000C0429"/>
    <w:rsid w:val="000E11CC"/>
    <w:rsid w:val="000E666C"/>
    <w:rsid w:val="00114472"/>
    <w:rsid w:val="00170EC5"/>
    <w:rsid w:val="001747C1"/>
    <w:rsid w:val="0018596A"/>
    <w:rsid w:val="001C4DA0"/>
    <w:rsid w:val="00207DF5"/>
    <w:rsid w:val="0026785D"/>
    <w:rsid w:val="002C31BF"/>
    <w:rsid w:val="002E0CD7"/>
    <w:rsid w:val="002F026B"/>
    <w:rsid w:val="002F0A51"/>
    <w:rsid w:val="003146C8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5771"/>
    <w:rsid w:val="004F4B9B"/>
    <w:rsid w:val="00511AB9"/>
    <w:rsid w:val="00523EA7"/>
    <w:rsid w:val="005443EB"/>
    <w:rsid w:val="00551D1F"/>
    <w:rsid w:val="00551FB6"/>
    <w:rsid w:val="00553375"/>
    <w:rsid w:val="00554403"/>
    <w:rsid w:val="005658A6"/>
    <w:rsid w:val="005722BB"/>
    <w:rsid w:val="005736B7"/>
    <w:rsid w:val="00575E5A"/>
    <w:rsid w:val="00584777"/>
    <w:rsid w:val="00596C7E"/>
    <w:rsid w:val="005A64E9"/>
    <w:rsid w:val="005B5EE9"/>
    <w:rsid w:val="005C6BF6"/>
    <w:rsid w:val="005E36C7"/>
    <w:rsid w:val="0061068E"/>
    <w:rsid w:val="00660AD3"/>
    <w:rsid w:val="00661C60"/>
    <w:rsid w:val="006745F6"/>
    <w:rsid w:val="006A3C22"/>
    <w:rsid w:val="006A5570"/>
    <w:rsid w:val="006A689C"/>
    <w:rsid w:val="006A7B16"/>
    <w:rsid w:val="006B3D79"/>
    <w:rsid w:val="006E0578"/>
    <w:rsid w:val="006E314D"/>
    <w:rsid w:val="00710723"/>
    <w:rsid w:val="007115B2"/>
    <w:rsid w:val="00723ED1"/>
    <w:rsid w:val="00743525"/>
    <w:rsid w:val="0076286B"/>
    <w:rsid w:val="00764595"/>
    <w:rsid w:val="00766846"/>
    <w:rsid w:val="0077673A"/>
    <w:rsid w:val="007846E1"/>
    <w:rsid w:val="007A456A"/>
    <w:rsid w:val="007B570C"/>
    <w:rsid w:val="007E4A6E"/>
    <w:rsid w:val="007F56A7"/>
    <w:rsid w:val="00807DD0"/>
    <w:rsid w:val="00813F11"/>
    <w:rsid w:val="00841EB7"/>
    <w:rsid w:val="008655B9"/>
    <w:rsid w:val="00866190"/>
    <w:rsid w:val="008976E0"/>
    <w:rsid w:val="008A3568"/>
    <w:rsid w:val="008C46BE"/>
    <w:rsid w:val="008C4B0C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3EC"/>
    <w:rsid w:val="009E07F4"/>
    <w:rsid w:val="009F392E"/>
    <w:rsid w:val="00A26B67"/>
    <w:rsid w:val="00A44328"/>
    <w:rsid w:val="00A6177B"/>
    <w:rsid w:val="00A66136"/>
    <w:rsid w:val="00AA4CBB"/>
    <w:rsid w:val="00AA5E72"/>
    <w:rsid w:val="00AA65FA"/>
    <w:rsid w:val="00AA7351"/>
    <w:rsid w:val="00AD056F"/>
    <w:rsid w:val="00AD6731"/>
    <w:rsid w:val="00AE2AE7"/>
    <w:rsid w:val="00B15D0D"/>
    <w:rsid w:val="00B17CE1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8207D"/>
    <w:rsid w:val="00C93EE9"/>
    <w:rsid w:val="00CA187B"/>
    <w:rsid w:val="00CD1FC4"/>
    <w:rsid w:val="00CE371D"/>
    <w:rsid w:val="00CF5C56"/>
    <w:rsid w:val="00D02A4D"/>
    <w:rsid w:val="00D21061"/>
    <w:rsid w:val="00D21417"/>
    <w:rsid w:val="00D304D7"/>
    <w:rsid w:val="00D316A7"/>
    <w:rsid w:val="00D3506A"/>
    <w:rsid w:val="00D401A4"/>
    <w:rsid w:val="00D4108E"/>
    <w:rsid w:val="00D4763B"/>
    <w:rsid w:val="00D6163D"/>
    <w:rsid w:val="00D64034"/>
    <w:rsid w:val="00D831A3"/>
    <w:rsid w:val="00D96D9D"/>
    <w:rsid w:val="00DA6FFE"/>
    <w:rsid w:val="00DC3110"/>
    <w:rsid w:val="00DD46F3"/>
    <w:rsid w:val="00DD58A6"/>
    <w:rsid w:val="00DE1B28"/>
    <w:rsid w:val="00DE56F2"/>
    <w:rsid w:val="00DF116D"/>
    <w:rsid w:val="00E43BA5"/>
    <w:rsid w:val="00E824F1"/>
    <w:rsid w:val="00E96541"/>
    <w:rsid w:val="00EB104F"/>
    <w:rsid w:val="00ED14BD"/>
    <w:rsid w:val="00EE0E42"/>
    <w:rsid w:val="00F01440"/>
    <w:rsid w:val="00F12DEC"/>
    <w:rsid w:val="00F1715C"/>
    <w:rsid w:val="00F27734"/>
    <w:rsid w:val="00F310F8"/>
    <w:rsid w:val="00F35939"/>
    <w:rsid w:val="00F45607"/>
    <w:rsid w:val="00F64786"/>
    <w:rsid w:val="00F659EB"/>
    <w:rsid w:val="00F862D6"/>
    <w:rsid w:val="00F86BA6"/>
    <w:rsid w:val="00FC271E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zdc.cz/dalsi-informace/dokumenty-a-predpisy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hyperlink" Target="http://www.tudc.cz/" TargetMode="External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szdc.cz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udc.cz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1E2771-89AE-4436-8A15-CCABE7FA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3069</Words>
  <Characters>18108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Majerová Renáta</dc:creator>
  <cp:lastModifiedBy>Majerová Renáta</cp:lastModifiedBy>
  <cp:revision>25</cp:revision>
  <cp:lastPrinted>2019-02-19T06:49:00Z</cp:lastPrinted>
  <dcterms:created xsi:type="dcterms:W3CDTF">2019-04-30T07:05:00Z</dcterms:created>
  <dcterms:modified xsi:type="dcterms:W3CDTF">2019-05-07T11:33:00Z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